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pacing w:val="0"/>
          <w:sz w:val="32"/>
          <w:szCs w:val="32"/>
        </w:rPr>
      </w:pPr>
      <mc:AlternateContent>
        <mc:Choice Requires="wpsCustomData">
          <wpsCustomData:docfieldStart id="0" docfieldname="正文" hidden="false" print="true" readonly="false" index="4"/>
        </mc:Choice>
      </mc:AlternateContent>
      <w:r>
        <w:rPr>
          <w:rFonts w:hint="eastAsia" w:ascii="黑体" w:hAnsi="黑体" w:eastAsia="黑体"/>
          <w:spacing w:val="0"/>
          <w:sz w:val="32"/>
          <w:szCs w:val="32"/>
        </w:rPr>
        <w:t>附件1</w:t>
      </w:r>
    </w:p>
    <w:p>
      <w:pPr>
        <w:spacing w:line="240" w:lineRule="auto"/>
        <w:jc w:val="center"/>
        <w:rPr>
          <w:rFonts w:hint="eastAsia" w:ascii="方正小标宋简体" w:hAnsi="Calibri" w:eastAsia="方正小标宋简体"/>
          <w:bCs/>
          <w:spacing w:val="0"/>
          <w:sz w:val="36"/>
          <w:szCs w:val="36"/>
        </w:rPr>
      </w:pPr>
    </w:p>
    <w:p>
      <w:pPr>
        <w:spacing w:line="240" w:lineRule="auto"/>
        <w:jc w:val="center"/>
        <w:rPr>
          <w:rFonts w:hint="eastAsia" w:ascii="黑体" w:hAnsi="黑体" w:eastAsia="黑体" w:cs="黑体"/>
          <w:bCs/>
          <w:spacing w:val="0"/>
          <w:sz w:val="44"/>
          <w:szCs w:val="44"/>
        </w:rPr>
      </w:pPr>
      <w:r>
        <w:rPr>
          <w:rFonts w:hint="eastAsia" w:ascii="黑体" w:hAnsi="黑体" w:eastAsia="黑体" w:cs="黑体"/>
          <w:bCs/>
          <w:spacing w:val="0"/>
          <w:sz w:val="44"/>
          <w:szCs w:val="44"/>
        </w:rPr>
        <w:t>非洲猪瘟检测第三方机构名单</w:t>
      </w:r>
    </w:p>
    <w:p>
      <w:pPr>
        <w:spacing w:line="240" w:lineRule="auto"/>
        <w:rPr>
          <w:rFonts w:ascii="Calibri" w:hAnsi="Calibri" w:eastAsia="宋体"/>
          <w:bCs/>
          <w:spacing w:val="0"/>
          <w:sz w:val="32"/>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3715"/>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116" w:type="dxa"/>
            <w:noWrap w:val="0"/>
            <w:vAlign w:val="center"/>
          </w:tcPr>
          <w:p>
            <w:pPr>
              <w:spacing w:line="240" w:lineRule="auto"/>
              <w:jc w:val="center"/>
              <w:rPr>
                <w:rFonts w:hint="eastAsia" w:ascii="黑体" w:hAnsi="黑体" w:eastAsia="黑体"/>
                <w:bCs/>
                <w:spacing w:val="0"/>
                <w:sz w:val="32"/>
                <w:szCs w:val="32"/>
              </w:rPr>
            </w:pPr>
            <w:r>
              <w:rPr>
                <w:rFonts w:hint="eastAsia" w:ascii="黑体" w:hAnsi="黑体" w:eastAsia="黑体"/>
                <w:bCs/>
                <w:spacing w:val="0"/>
                <w:sz w:val="32"/>
                <w:szCs w:val="32"/>
              </w:rPr>
              <w:t>名称</w:t>
            </w:r>
          </w:p>
        </w:tc>
        <w:tc>
          <w:tcPr>
            <w:tcW w:w="3715" w:type="dxa"/>
            <w:noWrap w:val="0"/>
            <w:vAlign w:val="center"/>
          </w:tcPr>
          <w:p>
            <w:pPr>
              <w:spacing w:line="240" w:lineRule="auto"/>
              <w:jc w:val="center"/>
              <w:rPr>
                <w:rFonts w:hint="eastAsia" w:ascii="黑体" w:hAnsi="黑体" w:eastAsia="黑体"/>
                <w:bCs/>
                <w:spacing w:val="0"/>
                <w:sz w:val="32"/>
                <w:szCs w:val="32"/>
              </w:rPr>
            </w:pPr>
            <w:r>
              <w:rPr>
                <w:rFonts w:hint="eastAsia" w:ascii="黑体" w:hAnsi="黑体" w:eastAsia="黑体"/>
                <w:bCs/>
                <w:spacing w:val="0"/>
                <w:sz w:val="32"/>
                <w:szCs w:val="32"/>
              </w:rPr>
              <w:t>地址</w:t>
            </w:r>
          </w:p>
        </w:tc>
        <w:tc>
          <w:tcPr>
            <w:tcW w:w="2229" w:type="dxa"/>
            <w:noWrap w:val="0"/>
            <w:vAlign w:val="center"/>
          </w:tcPr>
          <w:p>
            <w:pPr>
              <w:spacing w:line="240" w:lineRule="auto"/>
              <w:jc w:val="center"/>
              <w:rPr>
                <w:rFonts w:hint="eastAsia" w:ascii="黑体" w:hAnsi="黑体" w:eastAsia="黑体"/>
                <w:bCs/>
                <w:spacing w:val="0"/>
                <w:sz w:val="32"/>
                <w:szCs w:val="32"/>
              </w:rPr>
            </w:pPr>
            <w:r>
              <w:rPr>
                <w:rFonts w:hint="eastAsia" w:ascii="黑体" w:hAnsi="黑体" w:eastAsia="黑体"/>
                <w:bCs/>
                <w:spacing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16" w:type="dxa"/>
            <w:noWrap w:val="0"/>
            <w:vAlign w:val="center"/>
          </w:tcPr>
          <w:p>
            <w:pPr>
              <w:spacing w:line="240" w:lineRule="auto"/>
              <w:jc w:val="center"/>
              <w:rPr>
                <w:rFonts w:hint="eastAsia" w:ascii="仿宋_GB2312" w:hAnsi="Calibri" w:eastAsia="仿宋_GB2312"/>
                <w:bCs/>
                <w:spacing w:val="0"/>
                <w:sz w:val="32"/>
                <w:szCs w:val="32"/>
              </w:rPr>
            </w:pPr>
            <w:r>
              <w:rPr>
                <w:rFonts w:hint="eastAsia" w:ascii="仿宋_GB2312" w:hAnsi="Calibri" w:eastAsia="仿宋_GB2312"/>
                <w:bCs/>
                <w:spacing w:val="0"/>
                <w:sz w:val="32"/>
                <w:szCs w:val="32"/>
              </w:rPr>
              <w:t>西安海关技术中心</w:t>
            </w:r>
          </w:p>
        </w:tc>
        <w:tc>
          <w:tcPr>
            <w:tcW w:w="3715" w:type="dxa"/>
            <w:noWrap w:val="0"/>
            <w:vAlign w:val="center"/>
          </w:tcPr>
          <w:p>
            <w:pPr>
              <w:spacing w:line="240" w:lineRule="auto"/>
              <w:jc w:val="center"/>
              <w:rPr>
                <w:rFonts w:hint="eastAsia" w:ascii="仿宋_GB2312" w:hAnsi="Calibri" w:eastAsia="仿宋_GB2312"/>
                <w:bCs/>
                <w:spacing w:val="0"/>
                <w:sz w:val="32"/>
                <w:szCs w:val="32"/>
              </w:rPr>
            </w:pPr>
            <w:r>
              <w:rPr>
                <w:rFonts w:hint="eastAsia" w:ascii="仿宋_GB2312" w:hAnsi="Calibri" w:eastAsia="仿宋_GB2312"/>
                <w:bCs/>
                <w:spacing w:val="0"/>
                <w:sz w:val="32"/>
                <w:szCs w:val="32"/>
              </w:rPr>
              <w:t>西安市含光北路10号</w:t>
            </w:r>
          </w:p>
        </w:tc>
        <w:tc>
          <w:tcPr>
            <w:tcW w:w="2229" w:type="dxa"/>
            <w:noWrap w:val="0"/>
            <w:vAlign w:val="center"/>
          </w:tcPr>
          <w:p>
            <w:pPr>
              <w:spacing w:line="240" w:lineRule="auto"/>
              <w:jc w:val="center"/>
              <w:rPr>
                <w:rFonts w:hint="eastAsia" w:ascii="仿宋_GB2312" w:hAnsi="Calibri" w:eastAsia="仿宋_GB2312"/>
                <w:bCs/>
                <w:spacing w:val="0"/>
                <w:sz w:val="32"/>
                <w:szCs w:val="32"/>
              </w:rPr>
            </w:pPr>
            <w:r>
              <w:rPr>
                <w:rFonts w:hint="eastAsia" w:ascii="仿宋_GB2312" w:hAnsi="Calibri" w:eastAsia="仿宋_GB2312"/>
                <w:bCs/>
                <w:spacing w:val="0"/>
                <w:sz w:val="32"/>
                <w:szCs w:val="32"/>
              </w:rPr>
              <w:t>029-85407169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16" w:type="dxa"/>
            <w:noWrap w:val="0"/>
            <w:vAlign w:val="center"/>
          </w:tcPr>
          <w:p>
            <w:pPr>
              <w:spacing w:line="240" w:lineRule="auto"/>
              <w:jc w:val="center"/>
              <w:rPr>
                <w:rFonts w:hint="eastAsia" w:ascii="仿宋_GB2312" w:hAnsi="Calibri" w:eastAsia="仿宋_GB2312"/>
                <w:bCs/>
                <w:spacing w:val="0"/>
                <w:sz w:val="32"/>
                <w:szCs w:val="32"/>
              </w:rPr>
            </w:pPr>
            <w:r>
              <w:rPr>
                <w:rFonts w:hint="eastAsia" w:ascii="仿宋_GB2312" w:hAnsi="Calibri" w:eastAsia="仿宋_GB2312"/>
                <w:bCs/>
                <w:spacing w:val="0"/>
                <w:sz w:val="32"/>
                <w:szCs w:val="32"/>
              </w:rPr>
              <w:t>陕西诺威利华生物科技有限公司</w:t>
            </w:r>
          </w:p>
        </w:tc>
        <w:tc>
          <w:tcPr>
            <w:tcW w:w="3715" w:type="dxa"/>
            <w:noWrap w:val="0"/>
            <w:vAlign w:val="center"/>
          </w:tcPr>
          <w:p>
            <w:pPr>
              <w:spacing w:line="240" w:lineRule="auto"/>
              <w:jc w:val="center"/>
              <w:rPr>
                <w:rFonts w:hint="eastAsia" w:ascii="仿宋_GB2312" w:hAnsi="Calibri" w:eastAsia="仿宋_GB2312"/>
                <w:bCs/>
                <w:spacing w:val="0"/>
                <w:sz w:val="32"/>
                <w:szCs w:val="32"/>
              </w:rPr>
            </w:pPr>
            <w:r>
              <w:rPr>
                <w:rFonts w:hint="eastAsia" w:ascii="仿宋_GB2312" w:hAnsi="Calibri" w:eastAsia="仿宋_GB2312"/>
                <w:bCs/>
                <w:spacing w:val="0"/>
                <w:sz w:val="32"/>
                <w:szCs w:val="32"/>
              </w:rPr>
              <w:t>杨凌示范区北环路创新园创新中心大楼</w:t>
            </w:r>
          </w:p>
        </w:tc>
        <w:tc>
          <w:tcPr>
            <w:tcW w:w="2229" w:type="dxa"/>
            <w:noWrap w:val="0"/>
            <w:vAlign w:val="center"/>
          </w:tcPr>
          <w:p>
            <w:pPr>
              <w:spacing w:line="240" w:lineRule="auto"/>
              <w:jc w:val="center"/>
              <w:rPr>
                <w:rFonts w:hint="eastAsia" w:ascii="仿宋_GB2312" w:hAnsi="Calibri" w:eastAsia="仿宋_GB2312"/>
                <w:bCs/>
                <w:spacing w:val="0"/>
                <w:sz w:val="32"/>
                <w:szCs w:val="32"/>
              </w:rPr>
            </w:pPr>
            <w:r>
              <w:rPr>
                <w:rFonts w:hint="eastAsia" w:ascii="仿宋_GB2312" w:hAnsi="Calibri" w:eastAsia="仿宋_GB2312"/>
                <w:bCs/>
                <w:spacing w:val="0"/>
                <w:sz w:val="32"/>
                <w:szCs w:val="32"/>
              </w:rPr>
              <w:t>029-87011023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exact"/>
        </w:trPr>
        <w:tc>
          <w:tcPr>
            <w:tcW w:w="3116" w:type="dxa"/>
            <w:noWrap w:val="0"/>
            <w:vAlign w:val="center"/>
          </w:tcPr>
          <w:p>
            <w:pPr>
              <w:spacing w:line="240" w:lineRule="auto"/>
              <w:jc w:val="center"/>
              <w:rPr>
                <w:rFonts w:hint="eastAsia" w:ascii="仿宋_GB2312" w:hAnsi="Calibri" w:eastAsia="仿宋_GB2312"/>
                <w:bCs/>
                <w:spacing w:val="0"/>
                <w:sz w:val="32"/>
                <w:szCs w:val="32"/>
              </w:rPr>
            </w:pPr>
            <w:r>
              <w:rPr>
                <w:rFonts w:hint="eastAsia" w:ascii="仿宋_GB2312" w:hAnsi="Calibri" w:eastAsia="仿宋_GB2312"/>
                <w:bCs/>
                <w:spacing w:val="0"/>
                <w:sz w:val="32"/>
                <w:szCs w:val="32"/>
              </w:rPr>
              <w:t>陕西农科检测技术有限公司</w:t>
            </w:r>
          </w:p>
        </w:tc>
        <w:tc>
          <w:tcPr>
            <w:tcW w:w="3715" w:type="dxa"/>
            <w:noWrap w:val="0"/>
            <w:vAlign w:val="center"/>
          </w:tcPr>
          <w:p>
            <w:pPr>
              <w:spacing w:line="240" w:lineRule="auto"/>
              <w:jc w:val="center"/>
              <w:rPr>
                <w:rFonts w:hint="eastAsia" w:ascii="仿宋_GB2312" w:hAnsi="Calibri" w:eastAsia="仿宋_GB2312"/>
                <w:bCs/>
                <w:spacing w:val="0"/>
                <w:sz w:val="32"/>
                <w:szCs w:val="32"/>
              </w:rPr>
            </w:pPr>
            <w:r>
              <w:rPr>
                <w:rFonts w:hint="eastAsia" w:ascii="仿宋_GB2312" w:hAnsi="Calibri" w:eastAsia="仿宋_GB2312"/>
                <w:bCs/>
                <w:spacing w:val="0"/>
                <w:sz w:val="32"/>
                <w:szCs w:val="32"/>
              </w:rPr>
              <w:t>西安市经开区草滩十路999号C座8层</w:t>
            </w:r>
          </w:p>
        </w:tc>
        <w:tc>
          <w:tcPr>
            <w:tcW w:w="2229" w:type="dxa"/>
            <w:noWrap w:val="0"/>
            <w:vAlign w:val="center"/>
          </w:tcPr>
          <w:p>
            <w:pPr>
              <w:spacing w:line="240" w:lineRule="auto"/>
              <w:jc w:val="center"/>
              <w:rPr>
                <w:rFonts w:hint="eastAsia" w:ascii="仿宋_GB2312" w:hAnsi="Calibri" w:eastAsia="仿宋_GB2312"/>
                <w:bCs/>
                <w:spacing w:val="0"/>
                <w:sz w:val="32"/>
                <w:szCs w:val="32"/>
              </w:rPr>
            </w:pPr>
            <w:r>
              <w:rPr>
                <w:rFonts w:hint="eastAsia" w:ascii="仿宋_GB2312" w:hAnsi="Calibri" w:eastAsia="仿宋_GB2312"/>
                <w:bCs/>
                <w:spacing w:val="0"/>
                <w:sz w:val="32"/>
                <w:szCs w:val="32"/>
              </w:rPr>
              <w:t>029-65678661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16" w:type="dxa"/>
            <w:noWrap w:val="0"/>
            <w:vAlign w:val="center"/>
          </w:tcPr>
          <w:p>
            <w:pPr>
              <w:spacing w:line="240" w:lineRule="auto"/>
              <w:jc w:val="center"/>
              <w:rPr>
                <w:rFonts w:hint="eastAsia" w:ascii="仿宋_GB2312" w:hAnsi="Calibri" w:eastAsia="仿宋_GB2312"/>
                <w:bCs/>
                <w:spacing w:val="0"/>
                <w:sz w:val="32"/>
                <w:szCs w:val="32"/>
              </w:rPr>
            </w:pPr>
            <w:r>
              <w:rPr>
                <w:rFonts w:hint="eastAsia" w:ascii="仿宋_GB2312" w:hAnsi="Calibri" w:eastAsia="仿宋_GB2312"/>
                <w:bCs/>
                <w:spacing w:val="0"/>
                <w:sz w:val="32"/>
                <w:szCs w:val="32"/>
              </w:rPr>
              <w:t>陕西中科基因检测技术有限公司</w:t>
            </w:r>
          </w:p>
        </w:tc>
        <w:tc>
          <w:tcPr>
            <w:tcW w:w="3715" w:type="dxa"/>
            <w:noWrap w:val="0"/>
            <w:vAlign w:val="center"/>
          </w:tcPr>
          <w:p>
            <w:pPr>
              <w:spacing w:line="240" w:lineRule="auto"/>
              <w:jc w:val="center"/>
              <w:rPr>
                <w:rFonts w:hint="eastAsia" w:ascii="仿宋_GB2312" w:hAnsi="Calibri" w:eastAsia="仿宋_GB2312"/>
                <w:bCs/>
                <w:spacing w:val="0"/>
                <w:sz w:val="32"/>
                <w:szCs w:val="32"/>
              </w:rPr>
            </w:pPr>
            <w:r>
              <w:rPr>
                <w:rFonts w:hint="eastAsia" w:ascii="仿宋_GB2312" w:hAnsi="Calibri" w:eastAsia="仿宋_GB2312"/>
                <w:bCs/>
                <w:spacing w:val="0"/>
                <w:sz w:val="32"/>
                <w:szCs w:val="32"/>
              </w:rPr>
              <w:t>西咸新区泾河新城泾永路中段</w:t>
            </w:r>
          </w:p>
        </w:tc>
        <w:tc>
          <w:tcPr>
            <w:tcW w:w="2229" w:type="dxa"/>
            <w:noWrap w:val="0"/>
            <w:vAlign w:val="center"/>
          </w:tcPr>
          <w:p>
            <w:pPr>
              <w:spacing w:line="240" w:lineRule="auto"/>
              <w:jc w:val="center"/>
              <w:rPr>
                <w:rFonts w:hint="eastAsia" w:ascii="仿宋_GB2312" w:hAnsi="Calibri" w:eastAsia="仿宋_GB2312"/>
                <w:bCs/>
                <w:spacing w:val="0"/>
                <w:sz w:val="32"/>
                <w:szCs w:val="32"/>
              </w:rPr>
            </w:pPr>
            <w:r>
              <w:rPr>
                <w:rFonts w:hint="eastAsia" w:ascii="仿宋_GB2312" w:hAnsi="Calibri" w:eastAsia="仿宋_GB2312"/>
                <w:bCs/>
                <w:spacing w:val="0"/>
                <w:sz w:val="32"/>
                <w:szCs w:val="32"/>
              </w:rPr>
              <w:t>029-81529500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16" w:type="dxa"/>
            <w:noWrap w:val="0"/>
            <w:vAlign w:val="center"/>
          </w:tcPr>
          <w:p>
            <w:pPr>
              <w:spacing w:line="240" w:lineRule="auto"/>
              <w:jc w:val="center"/>
              <w:rPr>
                <w:rFonts w:hint="eastAsia" w:ascii="仿宋_GB2312" w:hAnsi="Calibri" w:eastAsia="仿宋_GB2312"/>
                <w:bCs/>
                <w:spacing w:val="0"/>
                <w:sz w:val="32"/>
                <w:szCs w:val="32"/>
              </w:rPr>
            </w:pPr>
            <w:r>
              <w:rPr>
                <w:rFonts w:hint="eastAsia" w:ascii="仿宋_GB2312" w:hAnsi="Calibri" w:eastAsia="仿宋_GB2312"/>
                <w:color w:val="000000"/>
                <w:spacing w:val="0"/>
                <w:sz w:val="32"/>
                <w:szCs w:val="32"/>
              </w:rPr>
              <w:t>陕西立诺检测技术服务有限公司</w:t>
            </w:r>
          </w:p>
        </w:tc>
        <w:tc>
          <w:tcPr>
            <w:tcW w:w="3715" w:type="dxa"/>
            <w:noWrap w:val="0"/>
            <w:vAlign w:val="center"/>
          </w:tcPr>
          <w:p>
            <w:pPr>
              <w:spacing w:line="240" w:lineRule="auto"/>
              <w:jc w:val="center"/>
              <w:rPr>
                <w:rFonts w:hint="eastAsia" w:ascii="仿宋_GB2312" w:hAnsi="Calibri" w:eastAsia="仿宋_GB2312"/>
                <w:bCs/>
                <w:spacing w:val="0"/>
                <w:sz w:val="32"/>
                <w:szCs w:val="32"/>
              </w:rPr>
            </w:pPr>
            <w:r>
              <w:rPr>
                <w:rFonts w:hint="eastAsia" w:ascii="仿宋_GB2312" w:hAnsi="Calibri" w:eastAsia="仿宋_GB2312"/>
                <w:bCs/>
                <w:spacing w:val="0"/>
                <w:sz w:val="32"/>
                <w:szCs w:val="32"/>
              </w:rPr>
              <w:t>西咸新区泾河新城美国科技产业园</w:t>
            </w:r>
          </w:p>
        </w:tc>
        <w:tc>
          <w:tcPr>
            <w:tcW w:w="2229" w:type="dxa"/>
            <w:noWrap w:val="0"/>
            <w:vAlign w:val="center"/>
          </w:tcPr>
          <w:p>
            <w:pPr>
              <w:spacing w:line="240" w:lineRule="auto"/>
              <w:jc w:val="center"/>
              <w:rPr>
                <w:rFonts w:ascii="仿宋_GB2312" w:hAnsi="Calibri" w:eastAsia="仿宋_GB2312"/>
                <w:bCs/>
                <w:spacing w:val="0"/>
                <w:sz w:val="32"/>
                <w:szCs w:val="32"/>
              </w:rPr>
            </w:pPr>
            <w:r>
              <w:rPr>
                <w:rFonts w:hint="eastAsia" w:ascii="仿宋_GB2312" w:hAnsi="Calibri" w:eastAsia="仿宋_GB2312"/>
                <w:bCs/>
                <w:spacing w:val="0"/>
                <w:sz w:val="32"/>
                <w:szCs w:val="32"/>
              </w:rPr>
              <w:t>18182507673</w:t>
            </w:r>
          </w:p>
        </w:tc>
      </w:tr>
    </w:tbl>
    <w:p>
      <w:pPr>
        <w:pStyle w:val="9"/>
        <w:widowControl w:val="0"/>
        <w:spacing w:before="0" w:beforeAutospacing="0" w:after="0" w:afterAutospacing="0" w:line="200" w:lineRule="exact"/>
        <w:rPr>
          <w:rFonts w:ascii="仿宋_GB2312" w:hAnsi="黑体" w:eastAsia="仿宋_GB2312"/>
          <w:color w:val="000000"/>
          <w:sz w:val="32"/>
          <w:szCs w:val="28"/>
        </w:rPr>
        <w:sectPr>
          <w:headerReference r:id="rId3" w:type="default"/>
          <w:footerReference r:id="rId4" w:type="default"/>
          <w:footerReference r:id="rId5" w:type="even"/>
          <w:pgSz w:w="11906" w:h="16838"/>
          <w:pgMar w:top="1871" w:right="1531" w:bottom="1474" w:left="1531" w:header="851" w:footer="1134" w:gutter="0"/>
          <w:pgNumType w:fmt="decimal"/>
          <w:cols w:space="425" w:num="1"/>
          <w:rtlGutter w:val="0"/>
          <w:docGrid w:linePitch="312" w:charSpace="0"/>
        </w:sect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ascii="黑体" w:hAnsi="黑体" w:eastAsia="黑体" w:cs="黑体"/>
          <w:color w:val="000000"/>
          <w:sz w:val="32"/>
          <w:szCs w:val="28"/>
        </w:rPr>
      </w:pPr>
      <w:r>
        <w:rPr>
          <w:rFonts w:hint="eastAsia" w:ascii="黑体" w:hAnsi="黑体" w:eastAsia="黑体" w:cs="黑体"/>
          <w:color w:val="000000"/>
          <w:sz w:val="32"/>
          <w:szCs w:val="28"/>
        </w:rPr>
        <w:t>附件2</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黑体" w:eastAsia="仿宋_GB2312"/>
          <w:color w:val="000000"/>
          <w:sz w:val="32"/>
          <w:szCs w:val="28"/>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黑体"/>
          <w:color w:val="000000"/>
          <w:sz w:val="44"/>
          <w:szCs w:val="40"/>
        </w:rPr>
      </w:pPr>
      <w:r>
        <w:rPr>
          <w:rFonts w:hint="eastAsia" w:ascii="黑体" w:hAnsi="黑体" w:eastAsia="黑体" w:cs="黑体"/>
          <w:color w:val="000000"/>
          <w:sz w:val="44"/>
          <w:szCs w:val="40"/>
        </w:rPr>
        <w:t>第三方动物疫病检测机构非洲猪瘟检测</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黑体" w:hAnsi="黑体" w:eastAsia="黑体" w:cs="黑体"/>
          <w:color w:val="000000"/>
          <w:sz w:val="44"/>
          <w:szCs w:val="40"/>
        </w:rPr>
      </w:pPr>
      <w:r>
        <w:rPr>
          <w:rFonts w:hint="eastAsia" w:ascii="黑体" w:hAnsi="黑体" w:eastAsia="黑体" w:cs="黑体"/>
          <w:color w:val="000000"/>
          <w:sz w:val="44"/>
          <w:szCs w:val="40"/>
        </w:rPr>
        <w:t>授权范围及工作要求</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黑体" w:eastAsia="仿宋_GB2312"/>
          <w:color w:val="000000"/>
          <w:sz w:val="32"/>
          <w:szCs w:val="28"/>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color w:val="000000"/>
          <w:sz w:val="32"/>
          <w:szCs w:val="28"/>
        </w:rPr>
      </w:pPr>
      <w:r>
        <w:rPr>
          <w:rFonts w:hint="eastAsia" w:ascii="黑体" w:hAnsi="黑体" w:eastAsia="黑体" w:cs="黑体"/>
          <w:color w:val="000000"/>
          <w:sz w:val="32"/>
          <w:szCs w:val="28"/>
        </w:rPr>
        <w:t>一、非洲猪瘟检测范围和方法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r>
        <w:rPr>
          <w:rFonts w:hint="eastAsia" w:ascii="仿宋_GB2312" w:hAnsi="黑体" w:eastAsia="仿宋_GB2312"/>
          <w:color w:val="000000"/>
          <w:sz w:val="32"/>
          <w:szCs w:val="28"/>
        </w:rPr>
        <w:t>在规定的有效期内，第三方兽医检测机构开展检测的范围限于满足日常生产、调运、监管等环节的非洲猪瘟检测工作，不得接收任何病死猪、异常死亡生猪样品的检测和疫病诊断工作。具体检测范围如下：</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r>
        <w:rPr>
          <w:rFonts w:hint="eastAsia" w:ascii="楷体_GB2312" w:hAnsi="楷体_GB2312" w:eastAsia="楷体_GB2312" w:cs="楷体_GB2312"/>
          <w:color w:val="000000"/>
          <w:sz w:val="32"/>
          <w:szCs w:val="28"/>
        </w:rPr>
        <w:t>（一）</w:t>
      </w:r>
      <w:r>
        <w:rPr>
          <w:rFonts w:hint="eastAsia" w:ascii="仿宋_GB2312" w:hAnsi="黑体" w:eastAsia="仿宋_GB2312"/>
          <w:color w:val="000000"/>
          <w:sz w:val="32"/>
          <w:szCs w:val="28"/>
        </w:rPr>
        <w:t>省内种猪场、规模化养猪场等非洲猪瘟日常检测委托；</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r>
        <w:rPr>
          <w:rFonts w:hint="eastAsia" w:ascii="楷体_GB2312" w:hAnsi="楷体_GB2312" w:eastAsia="楷体_GB2312" w:cs="楷体_GB2312"/>
          <w:color w:val="000000"/>
          <w:sz w:val="32"/>
          <w:szCs w:val="28"/>
        </w:rPr>
        <w:t>（二）</w:t>
      </w:r>
      <w:r>
        <w:rPr>
          <w:rFonts w:hint="eastAsia" w:ascii="仿宋_GB2312" w:hAnsi="黑体" w:eastAsia="仿宋_GB2312"/>
          <w:color w:val="000000"/>
          <w:sz w:val="32"/>
          <w:szCs w:val="28"/>
        </w:rPr>
        <w:t>省内种猪、仔猪、育肥猪调运环节的非洲猪瘟检测委托，委托检测需经养猪场所在地县级动物卫生监督机构同意，检测结果作为生猪调运前实施产地检疫的依据；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r>
        <w:rPr>
          <w:rFonts w:hint="eastAsia" w:ascii="楷体_GB2312" w:hAnsi="楷体_GB2312" w:eastAsia="楷体_GB2312" w:cs="楷体_GB2312"/>
          <w:color w:val="000000"/>
          <w:sz w:val="32"/>
          <w:szCs w:val="28"/>
        </w:rPr>
        <w:t>（三）</w:t>
      </w:r>
      <w:r>
        <w:rPr>
          <w:rFonts w:hint="eastAsia" w:ascii="仿宋_GB2312" w:hAnsi="黑体" w:eastAsia="仿宋_GB2312"/>
          <w:color w:val="000000"/>
          <w:sz w:val="32"/>
          <w:szCs w:val="28"/>
        </w:rPr>
        <w:t>省内生猪定点屠宰厂（场）的非洲猪瘟自检委托，委托检测需经驻场官方兽医同意，检测结果作为官方兽医实施屠宰检疫的依据；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r>
        <w:rPr>
          <w:rFonts w:hint="eastAsia" w:ascii="楷体_GB2312" w:hAnsi="楷体_GB2312" w:eastAsia="楷体_GB2312" w:cs="楷体_GB2312"/>
          <w:color w:val="000000"/>
          <w:sz w:val="32"/>
          <w:szCs w:val="28"/>
        </w:rPr>
        <w:t>（四）</w:t>
      </w:r>
      <w:r>
        <w:rPr>
          <w:rFonts w:hint="eastAsia" w:ascii="仿宋_GB2312" w:hAnsi="黑体" w:eastAsia="仿宋_GB2312"/>
          <w:color w:val="000000"/>
          <w:sz w:val="32"/>
          <w:szCs w:val="28"/>
        </w:rPr>
        <w:t>市场监管部门组织开展的流通环节猪肉制品和产品等检测委托，以及林业部门组织开展的野生动物日常监测委托。</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r>
        <w:rPr>
          <w:rFonts w:hint="eastAsia" w:ascii="楷体_GB2312" w:hAnsi="楷体_GB2312" w:eastAsia="楷体_GB2312" w:cs="楷体_GB2312"/>
          <w:color w:val="000000"/>
          <w:sz w:val="32"/>
          <w:szCs w:val="28"/>
        </w:rPr>
        <w:t>（五）</w:t>
      </w:r>
      <w:r>
        <w:rPr>
          <w:rFonts w:hint="eastAsia" w:ascii="仿宋_GB2312" w:hAnsi="黑体" w:eastAsia="仿宋_GB2312"/>
          <w:color w:val="000000"/>
          <w:sz w:val="32"/>
          <w:szCs w:val="28"/>
        </w:rPr>
        <w:t>承担农业农村部组织的国家动物疫情监测与防治项目需开展的非洲猪瘟检测任务。</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r>
        <w:rPr>
          <w:rFonts w:hint="eastAsia" w:ascii="仿宋_GB2312" w:hAnsi="黑体" w:eastAsia="仿宋_GB2312"/>
          <w:color w:val="000000"/>
          <w:sz w:val="32"/>
          <w:szCs w:val="28"/>
        </w:rPr>
        <w:t>第三方动物疫病检测机构开展非洲猪瘟检测，检测方法要严格执行CMA</w:t>
      </w:r>
      <w:r>
        <w:rPr>
          <w:rFonts w:hint="eastAsia" w:ascii="仿宋_GB2312" w:hAnsi="黑体" w:eastAsia="仿宋_GB2312"/>
          <w:color w:val="000000"/>
          <w:sz w:val="32"/>
          <w:szCs w:val="28"/>
          <w:lang w:eastAsia="zh-CN"/>
        </w:rPr>
        <w:t>或</w:t>
      </w:r>
      <w:r>
        <w:rPr>
          <w:rFonts w:hint="eastAsia" w:ascii="仿宋_GB2312" w:hAnsi="黑体" w:eastAsia="仿宋_GB2312"/>
          <w:color w:val="000000"/>
          <w:sz w:val="32"/>
          <w:szCs w:val="28"/>
          <w:lang w:val="en-US" w:eastAsia="zh-CN"/>
        </w:rPr>
        <w:t>CNAS</w:t>
      </w:r>
      <w:r>
        <w:rPr>
          <w:rFonts w:hint="eastAsia" w:ascii="仿宋_GB2312" w:hAnsi="黑体" w:eastAsia="仿宋_GB2312"/>
          <w:color w:val="000000"/>
          <w:sz w:val="32"/>
          <w:szCs w:val="28"/>
        </w:rPr>
        <w:t>认证批准的非洲猪瘟病原学检测方法；检测试剂要统一使用农业农村部批准或经中国动物预防控制中心比对符合要求的试剂盒，试剂盒</w:t>
      </w:r>
      <w:r>
        <w:rPr>
          <w:rFonts w:hint="eastAsia" w:ascii="仿宋_GB2312" w:hAnsi="黑体" w:eastAsia="仿宋_GB2312"/>
          <w:color w:val="000000"/>
          <w:sz w:val="32"/>
          <w:szCs w:val="28"/>
          <w:lang w:eastAsia="zh-CN"/>
        </w:rPr>
        <w:t>信息</w:t>
      </w:r>
      <w:r>
        <w:rPr>
          <w:rFonts w:hint="eastAsia" w:ascii="仿宋_GB2312" w:hAnsi="黑体" w:eastAsia="仿宋_GB2312"/>
          <w:color w:val="000000"/>
          <w:sz w:val="32"/>
          <w:szCs w:val="28"/>
        </w:rPr>
        <w:t>可从中国动物疫病预防控制中心网站查询。</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color w:val="000000"/>
          <w:sz w:val="32"/>
          <w:szCs w:val="28"/>
        </w:rPr>
      </w:pPr>
      <w:r>
        <w:rPr>
          <w:rFonts w:hint="eastAsia" w:ascii="黑体" w:hAnsi="黑体" w:eastAsia="黑体" w:cs="黑体"/>
          <w:color w:val="000000"/>
          <w:sz w:val="32"/>
          <w:szCs w:val="28"/>
        </w:rPr>
        <w:t>二、实验室检测管理规定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r>
        <w:rPr>
          <w:rFonts w:hint="eastAsia" w:ascii="楷体_GB2312" w:hAnsi="楷体_GB2312" w:eastAsia="楷体_GB2312" w:cs="楷体_GB2312"/>
          <w:color w:val="000000"/>
          <w:sz w:val="32"/>
          <w:szCs w:val="28"/>
        </w:rPr>
        <w:t>（一）</w:t>
      </w:r>
      <w:r>
        <w:rPr>
          <w:rFonts w:hint="eastAsia" w:ascii="仿宋_GB2312" w:hAnsi="黑体" w:eastAsia="仿宋_GB2312"/>
          <w:color w:val="000000"/>
          <w:sz w:val="32"/>
          <w:szCs w:val="28"/>
        </w:rPr>
        <w:t>第三方动物疫病检测机构兽医实验室要按照《病原微生物实验室生物安全管理条例》等有关规定，完善《实验室非洲猪瘟生物安全应急预案》《实验室非洲猪瘟生物安全操作手册》等生物安全管理、安全防护、感染控制和生物安全应急预案等规章制度，并严格执行、规范操作和处置。要按照签订的《实验室生物安全责任承诺书》，认真履行生物安全主体责任，落实生物安全措施，严控生物安全风险。</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r>
        <w:rPr>
          <w:rFonts w:hint="eastAsia" w:ascii="楷体_GB2312" w:hAnsi="楷体_GB2312" w:eastAsia="楷体_GB2312" w:cs="楷体_GB2312"/>
          <w:color w:val="000000"/>
          <w:sz w:val="32"/>
          <w:szCs w:val="28"/>
        </w:rPr>
        <w:t>（二）</w:t>
      </w:r>
      <w:r>
        <w:rPr>
          <w:rFonts w:hint="eastAsia" w:ascii="仿宋_GB2312" w:hAnsi="黑体" w:eastAsia="仿宋_GB2312"/>
          <w:color w:val="000000"/>
          <w:sz w:val="32"/>
          <w:szCs w:val="28"/>
        </w:rPr>
        <w:t>第三方动物疫病检测机构要严格遵守实验室生物安全操作规范，样品检测前，要在生物安全柜中对样品进行处理和灭活。每批样品检测结束后，要对检测过程中产生的废物、废液等进行消毒和无害化处理，并对相关仪器、工作台面、环境进行严格消毒。未经我厅批准，任何单位和个人不得采集病料；除农业农村部指定的实验室外，任何单位和个人不得擅自保存病料；未经农业农村部批准，任何单位和个人不得分离非洲猪瘟病毒，不得进行动物感染实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r>
        <w:rPr>
          <w:rFonts w:hint="eastAsia" w:ascii="楷体_GB2312" w:hAnsi="楷体_GB2312" w:eastAsia="楷体_GB2312" w:cs="楷体_GB2312"/>
          <w:color w:val="000000"/>
          <w:sz w:val="32"/>
          <w:szCs w:val="28"/>
        </w:rPr>
        <w:t>（三）</w:t>
      </w:r>
      <w:r>
        <w:rPr>
          <w:rFonts w:hint="eastAsia" w:ascii="仿宋_GB2312" w:hAnsi="黑体" w:eastAsia="仿宋_GB2312"/>
          <w:color w:val="000000"/>
          <w:sz w:val="32"/>
          <w:szCs w:val="28"/>
        </w:rPr>
        <w:t>第三方动物疫病检测机构要严格遵守国家有关法律法规和非洲猪瘟实验室检测的有关规定，认真做好实验室检测原始记录和档案保存，确保数据真实完整，检测报告出具规范。要对检测原始记录、报告、证书等归档留存，保证其具有可追溯性。原始记录至少要包含机打机读的当批检测结果CT值和扩增曲线，或是凝胶电泳照片。相关记录保存6年以上。</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r>
        <w:rPr>
          <w:rFonts w:hint="eastAsia" w:ascii="楷体_GB2312" w:hAnsi="楷体_GB2312" w:eastAsia="楷体_GB2312" w:cs="楷体_GB2312"/>
          <w:color w:val="000000"/>
          <w:sz w:val="32"/>
          <w:szCs w:val="28"/>
        </w:rPr>
        <w:t>（四）</w:t>
      </w:r>
      <w:r>
        <w:rPr>
          <w:rFonts w:hint="eastAsia" w:ascii="仿宋_GB2312" w:hAnsi="黑体" w:eastAsia="仿宋_GB2312"/>
          <w:color w:val="000000"/>
          <w:sz w:val="32"/>
          <w:szCs w:val="28"/>
        </w:rPr>
        <w:t>第三方动物疫病检测机构要及时将检测结果向委托方进行反馈，并按要求认真填写《第三方动物疫病检测机构非洲猪瘟检测结果汇总表》（见附表），于每月5日前将上月非洲猪瘟检测数据报送省动物疫病预防控制中心（联系人：白秋荣，电话/传真：029-86247563，邮箱：ykzxzdk@126.com）。省动物疫病预防控制中心每月将第三方检测数据通过“动物疫病防控及动物卫生监督云平台”“疫病监测月报”向中国动物疫病预防控制中心报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r>
        <w:rPr>
          <w:rFonts w:hint="eastAsia" w:ascii="楷体_GB2312" w:hAnsi="楷体_GB2312" w:eastAsia="楷体_GB2312" w:cs="楷体_GB2312"/>
          <w:color w:val="000000"/>
          <w:sz w:val="32"/>
          <w:szCs w:val="28"/>
        </w:rPr>
        <w:t>（五）</w:t>
      </w:r>
      <w:r>
        <w:rPr>
          <w:rFonts w:hint="eastAsia" w:ascii="仿宋_GB2312" w:hAnsi="黑体" w:eastAsia="仿宋_GB2312"/>
          <w:color w:val="000000"/>
          <w:sz w:val="32"/>
          <w:szCs w:val="28"/>
        </w:rPr>
        <w:t>一旦发现非洲猪瘟疑似阳性样品，第三方动物疫病检测机构应立即报告省动物疫病预防控制中心，并将疑似阳性样品送省动物疫病预防控制中心复核。同时，将结果通报样品来源地县级农业农村部门，由样品来源地县级农业农村部门按规定程序进行处置并逐级上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color w:val="000000"/>
          <w:sz w:val="32"/>
          <w:szCs w:val="28"/>
        </w:rPr>
      </w:pPr>
      <w:r>
        <w:rPr>
          <w:rFonts w:hint="eastAsia" w:ascii="黑体" w:hAnsi="黑体" w:eastAsia="黑体" w:cs="黑体"/>
          <w:color w:val="000000"/>
          <w:sz w:val="32"/>
          <w:szCs w:val="28"/>
        </w:rPr>
        <w:t>三、有关要求</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r>
        <w:rPr>
          <w:rFonts w:hint="eastAsia" w:ascii="楷体_GB2312" w:hAnsi="楷体_GB2312" w:eastAsia="楷体_GB2312" w:cs="楷体_GB2312"/>
          <w:color w:val="000000"/>
          <w:sz w:val="32"/>
          <w:szCs w:val="28"/>
        </w:rPr>
        <w:t>（一）</w:t>
      </w:r>
      <w:r>
        <w:rPr>
          <w:rFonts w:hint="eastAsia" w:ascii="仿宋_GB2312" w:hAnsi="黑体" w:eastAsia="仿宋_GB2312"/>
          <w:color w:val="000000"/>
          <w:sz w:val="32"/>
          <w:szCs w:val="28"/>
        </w:rPr>
        <w:t>各级农业农村部门要切实履行属地管理责任，做好辖区内第三方动物疫病检测实验室的实验活动和生物安全监管工作，督促其加强内部管理，制定并严格落实生物安全管理、安全防护、感染控制和生物安全应急预案等规章制度，并定期开展技术指导与监督检查，对存在检测不规范、记录不完整、报告不及时、弄虚作假的第三方检测机构，要及时督促进行整改，并将有关情况报告我厅。我厅将不定期组织开展监督抽查，</w:t>
      </w:r>
      <w:r>
        <w:rPr>
          <w:rFonts w:hint="eastAsia" w:ascii="仿宋_GB2312" w:hAnsi="黑体" w:eastAsia="仿宋_GB2312"/>
          <w:color w:val="000000"/>
          <w:sz w:val="32"/>
          <w:szCs w:val="28"/>
          <w:lang w:eastAsia="zh-CN"/>
        </w:rPr>
        <w:t>一旦</w:t>
      </w:r>
      <w:r>
        <w:rPr>
          <w:rFonts w:hint="eastAsia" w:ascii="仿宋_GB2312" w:hAnsi="黑体" w:eastAsia="仿宋_GB2312"/>
          <w:color w:val="000000"/>
          <w:sz w:val="32"/>
          <w:szCs w:val="28"/>
        </w:rPr>
        <w:t>发现未履行相关规定、超范围开展检测、擅自发布检测信息、存在生物安全风险的第三方动物疫病检测机构，取消其承担非洲猪瘟检测资格，并将有关情况通报市场监管部门进行查处。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r>
        <w:rPr>
          <w:rFonts w:hint="eastAsia" w:ascii="楷体_GB2312" w:hAnsi="楷体_GB2312" w:eastAsia="楷体_GB2312" w:cs="楷体_GB2312"/>
          <w:color w:val="000000"/>
          <w:sz w:val="32"/>
          <w:szCs w:val="28"/>
        </w:rPr>
        <w:t>（二）</w:t>
      </w:r>
      <w:r>
        <w:rPr>
          <w:rFonts w:hint="eastAsia" w:ascii="仿宋_GB2312" w:hAnsi="黑体" w:eastAsia="仿宋_GB2312"/>
          <w:color w:val="000000"/>
          <w:sz w:val="32"/>
          <w:szCs w:val="28"/>
        </w:rPr>
        <w:t>省动物疫病预防控制中心要加强第三方动物疫病检测机构的检测业务指导，每年至少开展一次检测能力比对，一旦出现比对结果不符合等情况，应立即暂停其检测活动，查找原因并整改完成</w:t>
      </w:r>
      <w:r>
        <w:rPr>
          <w:rFonts w:hint="eastAsia" w:ascii="仿宋_GB2312" w:hAnsi="黑体" w:eastAsia="仿宋_GB2312"/>
          <w:color w:val="000000"/>
          <w:sz w:val="32"/>
          <w:szCs w:val="28"/>
          <w:lang w:eastAsia="zh-CN"/>
        </w:rPr>
        <w:t>，</w:t>
      </w:r>
      <w:r>
        <w:rPr>
          <w:rFonts w:hint="eastAsia" w:ascii="仿宋_GB2312" w:hAnsi="黑体" w:eastAsia="仿宋_GB2312"/>
          <w:color w:val="000000"/>
          <w:sz w:val="32"/>
          <w:szCs w:val="28"/>
        </w:rPr>
        <w:t>后方可继续开展检测工作；要定期开展技术指导和监督抽检，包括非洲猪瘟检测技术培训、检测结果核查等。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r>
        <w:rPr>
          <w:rFonts w:hint="eastAsia" w:ascii="楷体_GB2312" w:hAnsi="楷体_GB2312" w:eastAsia="楷体_GB2312" w:cs="楷体_GB2312"/>
          <w:color w:val="000000"/>
          <w:sz w:val="32"/>
          <w:szCs w:val="28"/>
        </w:rPr>
        <w:t>（三）</w:t>
      </w:r>
      <w:r>
        <w:rPr>
          <w:rFonts w:hint="eastAsia" w:ascii="仿宋_GB2312" w:hAnsi="黑体" w:eastAsia="仿宋_GB2312"/>
          <w:color w:val="000000"/>
          <w:sz w:val="32"/>
          <w:szCs w:val="28"/>
        </w:rPr>
        <w:t>未经我厅同意，第三方动物疫病检测机构或其工作人员不得擅自向外发布检测数据信息，不得开展非洲猪瘟、高致病性禽流感、口蹄疫、小反刍兽疫等重大动物疫病诊断工作。</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r>
        <w:rPr>
          <w:rFonts w:hint="eastAsia" w:ascii="楷体_GB2312" w:hAnsi="楷体_GB2312" w:eastAsia="楷体_GB2312" w:cs="楷体_GB2312"/>
          <w:color w:val="000000"/>
          <w:sz w:val="32"/>
          <w:szCs w:val="28"/>
        </w:rPr>
        <w:t>（四）</w:t>
      </w:r>
      <w:r>
        <w:rPr>
          <w:rFonts w:hint="eastAsia" w:ascii="仿宋_GB2312" w:hAnsi="黑体" w:eastAsia="仿宋_GB2312"/>
          <w:color w:val="000000"/>
          <w:sz w:val="32"/>
          <w:szCs w:val="28"/>
        </w:rPr>
        <w:t>未经认定授权的第三方动物疫病检测机构不得开展非洲猪瘟等重大动物疫病检测工作。</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黑体" w:eastAsia="仿宋_GB2312"/>
          <w:color w:val="000000"/>
          <w:sz w:val="32"/>
          <w:szCs w:val="28"/>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hAnsi="黑体" w:eastAsia="仿宋_GB2312"/>
          <w:color w:val="000000"/>
          <w:sz w:val="32"/>
          <w:szCs w:val="28"/>
        </w:rPr>
      </w:pPr>
      <w:r>
        <w:rPr>
          <w:rFonts w:hint="eastAsia" w:ascii="仿宋_GB2312" w:hAnsi="黑体" w:eastAsia="仿宋_GB2312"/>
          <w:color w:val="000000"/>
          <w:sz w:val="32"/>
          <w:szCs w:val="28"/>
        </w:rPr>
        <w:t>附表：第三方动物疫病检测机构非洲猪瘟检测结果汇总表</w:t>
      </w:r>
    </w:p>
    <w:p>
      <w:pPr>
        <w:pStyle w:val="9"/>
        <w:widowControl w:val="0"/>
        <w:spacing w:before="0" w:beforeAutospacing="0" w:after="0" w:afterAutospacing="0" w:line="200" w:lineRule="exact"/>
        <w:rPr>
          <w:rFonts w:ascii="仿宋_GB2312" w:hAnsi="黑体" w:eastAsia="仿宋_GB2312"/>
          <w:color w:val="000000"/>
          <w:sz w:val="32"/>
          <w:szCs w:val="28"/>
        </w:rPr>
        <w:sectPr>
          <w:pgSz w:w="11906" w:h="16838"/>
          <w:pgMar w:top="1871" w:right="1531" w:bottom="1474" w:left="1531" w:header="851" w:footer="1134" w:gutter="0"/>
          <w:pgNumType w:fmt="decimal"/>
          <w:cols w:space="425" w:num="1"/>
          <w:rtlGutter w:val="0"/>
          <w:docGrid w:linePitch="312" w:charSpace="0"/>
        </w:sectPr>
      </w:pPr>
    </w:p>
    <w:p>
      <w:pPr>
        <w:spacing w:before="0" w:beforeLines="-2147483648" w:after="0" w:afterLines="-2147483648" w:line="240" w:lineRule="auto"/>
        <w:jc w:val="left"/>
        <w:rPr>
          <w:rFonts w:hint="eastAsia" w:ascii="黑体" w:hAnsi="黑体" w:eastAsia="黑体"/>
          <w:spacing w:val="0"/>
          <w:sz w:val="32"/>
          <w:szCs w:val="32"/>
        </w:rPr>
      </w:pPr>
      <w:r>
        <w:rPr>
          <w:rFonts w:hint="eastAsia" w:ascii="黑体" w:hAnsi="黑体" w:eastAsia="黑体"/>
          <w:spacing w:val="0"/>
          <w:sz w:val="32"/>
          <w:szCs w:val="32"/>
        </w:rPr>
        <w:t>附表</w:t>
      </w:r>
    </w:p>
    <w:p>
      <w:pPr>
        <w:spacing w:before="0" w:beforeLines="-2147483648" w:after="0" w:afterLines="-2147483648" w:line="240" w:lineRule="auto"/>
        <w:jc w:val="center"/>
        <w:rPr>
          <w:rFonts w:hint="eastAsia" w:ascii="黑体" w:hAnsi="黑体" w:eastAsia="黑体" w:cs="黑体"/>
          <w:bCs/>
          <w:spacing w:val="0"/>
          <w:sz w:val="44"/>
          <w:szCs w:val="44"/>
        </w:rPr>
      </w:pPr>
      <w:r>
        <w:rPr>
          <w:rFonts w:hint="eastAsia" w:ascii="黑体" w:hAnsi="黑体" w:eastAsia="黑体" w:cs="黑体"/>
          <w:bCs/>
          <w:spacing w:val="0"/>
          <w:sz w:val="44"/>
          <w:szCs w:val="44"/>
        </w:rPr>
        <w:t>第三方动物疫病检测机构非洲猪瘟检测结果汇总表</w:t>
      </w:r>
    </w:p>
    <w:p>
      <w:pPr>
        <w:spacing w:before="289" w:beforeLines="50" w:line="240" w:lineRule="auto"/>
        <w:rPr>
          <w:rFonts w:hint="eastAsia" w:ascii="仿宋_GB2312" w:hAnsi="宋体" w:eastAsia="仿宋_GB2312" w:cs="宋体"/>
          <w:bCs/>
          <w:spacing w:val="0"/>
          <w:sz w:val="30"/>
          <w:szCs w:val="30"/>
        </w:rPr>
      </w:pPr>
      <w:r>
        <w:rPr>
          <w:rFonts w:hint="eastAsia" w:ascii="仿宋_GB2312" w:hAnsi="宋体" w:eastAsia="仿宋_GB2312" w:cs="宋体"/>
          <w:spacing w:val="0"/>
          <w:sz w:val="22"/>
          <w:szCs w:val="24"/>
        </w:rPr>
        <w:t>填报单位（盖章）：                  填报人：                      填报日期：              联系电话：</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709"/>
        <w:gridCol w:w="2410"/>
        <w:gridCol w:w="850"/>
        <w:gridCol w:w="1135"/>
        <w:gridCol w:w="1134"/>
        <w:gridCol w:w="708"/>
        <w:gridCol w:w="1134"/>
        <w:gridCol w:w="850"/>
        <w:gridCol w:w="851"/>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widowControl/>
              <w:spacing w:line="240" w:lineRule="auto"/>
              <w:jc w:val="center"/>
              <w:rPr>
                <w:rFonts w:hint="eastAsia" w:ascii="黑体" w:hAnsi="黑体" w:eastAsia="黑体" w:cs="宋体"/>
                <w:bCs/>
                <w:spacing w:val="0"/>
                <w:sz w:val="21"/>
                <w:szCs w:val="21"/>
              </w:rPr>
            </w:pPr>
            <w:r>
              <w:rPr>
                <w:rFonts w:hint="eastAsia" w:ascii="黑体" w:hAnsi="黑体" w:eastAsia="黑体" w:cs="宋体"/>
                <w:bCs/>
                <w:spacing w:val="0"/>
                <w:sz w:val="21"/>
                <w:szCs w:val="21"/>
              </w:rPr>
              <w:t>序号</w:t>
            </w:r>
          </w:p>
        </w:tc>
        <w:tc>
          <w:tcPr>
            <w:tcW w:w="2268" w:type="dxa"/>
            <w:noWrap w:val="0"/>
            <w:vAlign w:val="center"/>
          </w:tcPr>
          <w:p>
            <w:pPr>
              <w:widowControl/>
              <w:spacing w:line="240" w:lineRule="auto"/>
              <w:jc w:val="center"/>
              <w:rPr>
                <w:rFonts w:hint="eastAsia" w:ascii="黑体" w:hAnsi="黑体" w:eastAsia="黑体" w:cs="宋体"/>
                <w:bCs/>
                <w:spacing w:val="0"/>
                <w:sz w:val="21"/>
                <w:szCs w:val="21"/>
              </w:rPr>
            </w:pPr>
            <w:r>
              <w:rPr>
                <w:rFonts w:hint="eastAsia" w:ascii="黑体" w:hAnsi="黑体" w:eastAsia="黑体" w:cs="宋体"/>
                <w:bCs/>
                <w:spacing w:val="0"/>
                <w:sz w:val="21"/>
                <w:szCs w:val="21"/>
              </w:rPr>
              <w:t>场点名称</w:t>
            </w:r>
          </w:p>
        </w:tc>
        <w:tc>
          <w:tcPr>
            <w:tcW w:w="709" w:type="dxa"/>
            <w:noWrap w:val="0"/>
            <w:vAlign w:val="center"/>
          </w:tcPr>
          <w:p>
            <w:pPr>
              <w:widowControl/>
              <w:spacing w:line="300" w:lineRule="exact"/>
              <w:jc w:val="center"/>
              <w:rPr>
                <w:rFonts w:hint="eastAsia" w:ascii="黑体" w:hAnsi="黑体" w:eastAsia="黑体" w:cs="宋体"/>
                <w:bCs/>
                <w:spacing w:val="0"/>
                <w:sz w:val="21"/>
                <w:szCs w:val="21"/>
              </w:rPr>
            </w:pPr>
            <w:r>
              <w:rPr>
                <w:rFonts w:hint="eastAsia" w:ascii="黑体" w:hAnsi="黑体" w:eastAsia="黑体" w:cs="宋体"/>
                <w:bCs/>
                <w:spacing w:val="0"/>
                <w:sz w:val="21"/>
                <w:szCs w:val="21"/>
              </w:rPr>
              <w:t>场点类型</w:t>
            </w:r>
          </w:p>
        </w:tc>
        <w:tc>
          <w:tcPr>
            <w:tcW w:w="2410" w:type="dxa"/>
            <w:noWrap w:val="0"/>
            <w:vAlign w:val="center"/>
          </w:tcPr>
          <w:p>
            <w:pPr>
              <w:widowControl/>
              <w:spacing w:line="240" w:lineRule="auto"/>
              <w:jc w:val="center"/>
              <w:rPr>
                <w:rFonts w:hint="eastAsia" w:ascii="黑体" w:hAnsi="黑体" w:eastAsia="黑体" w:cs="宋体"/>
                <w:bCs/>
                <w:spacing w:val="0"/>
                <w:sz w:val="21"/>
                <w:szCs w:val="21"/>
              </w:rPr>
            </w:pPr>
            <w:r>
              <w:rPr>
                <w:rFonts w:hint="eastAsia" w:ascii="黑体" w:hAnsi="黑体" w:eastAsia="黑体" w:cs="宋体"/>
                <w:bCs/>
                <w:spacing w:val="0"/>
                <w:sz w:val="21"/>
                <w:szCs w:val="21"/>
              </w:rPr>
              <w:t>场点地址</w:t>
            </w:r>
          </w:p>
        </w:tc>
        <w:tc>
          <w:tcPr>
            <w:tcW w:w="850" w:type="dxa"/>
            <w:noWrap w:val="0"/>
            <w:vAlign w:val="center"/>
          </w:tcPr>
          <w:p>
            <w:pPr>
              <w:widowControl/>
              <w:spacing w:line="300" w:lineRule="exact"/>
              <w:jc w:val="center"/>
              <w:rPr>
                <w:rFonts w:hint="eastAsia" w:ascii="黑体" w:hAnsi="黑体" w:eastAsia="黑体" w:cs="宋体"/>
                <w:bCs/>
                <w:spacing w:val="0"/>
                <w:sz w:val="21"/>
                <w:szCs w:val="21"/>
              </w:rPr>
            </w:pPr>
            <w:r>
              <w:rPr>
                <w:rFonts w:hint="eastAsia" w:ascii="黑体" w:hAnsi="黑体" w:eastAsia="黑体" w:cs="宋体"/>
                <w:bCs/>
                <w:spacing w:val="0"/>
                <w:sz w:val="21"/>
                <w:szCs w:val="21"/>
              </w:rPr>
              <w:t>存栏数</w:t>
            </w:r>
          </w:p>
        </w:tc>
        <w:tc>
          <w:tcPr>
            <w:tcW w:w="1135" w:type="dxa"/>
            <w:noWrap w:val="0"/>
            <w:vAlign w:val="center"/>
          </w:tcPr>
          <w:p>
            <w:pPr>
              <w:widowControl/>
              <w:spacing w:line="240" w:lineRule="auto"/>
              <w:jc w:val="center"/>
              <w:rPr>
                <w:rFonts w:hint="eastAsia" w:ascii="黑体" w:hAnsi="黑体" w:eastAsia="黑体" w:cs="宋体"/>
                <w:bCs/>
                <w:spacing w:val="0"/>
                <w:sz w:val="21"/>
                <w:szCs w:val="21"/>
              </w:rPr>
            </w:pPr>
            <w:r>
              <w:rPr>
                <w:rFonts w:hint="eastAsia" w:ascii="黑体" w:hAnsi="黑体" w:eastAsia="黑体" w:cs="宋体"/>
                <w:bCs/>
                <w:spacing w:val="0"/>
                <w:sz w:val="21"/>
                <w:szCs w:val="21"/>
              </w:rPr>
              <w:t>采样日期</w:t>
            </w:r>
          </w:p>
        </w:tc>
        <w:tc>
          <w:tcPr>
            <w:tcW w:w="1134" w:type="dxa"/>
            <w:noWrap w:val="0"/>
            <w:vAlign w:val="center"/>
          </w:tcPr>
          <w:p>
            <w:pPr>
              <w:widowControl/>
              <w:spacing w:line="240" w:lineRule="auto"/>
              <w:jc w:val="center"/>
              <w:rPr>
                <w:rFonts w:hint="eastAsia" w:ascii="黑体" w:hAnsi="黑体" w:eastAsia="黑体" w:cs="宋体"/>
                <w:bCs/>
                <w:spacing w:val="0"/>
                <w:sz w:val="21"/>
                <w:szCs w:val="21"/>
              </w:rPr>
            </w:pPr>
            <w:r>
              <w:rPr>
                <w:rFonts w:hint="eastAsia" w:ascii="黑体" w:hAnsi="黑体" w:eastAsia="黑体" w:cs="宋体"/>
                <w:bCs/>
                <w:spacing w:val="0"/>
                <w:sz w:val="21"/>
                <w:szCs w:val="21"/>
              </w:rPr>
              <w:t>样品类型</w:t>
            </w:r>
          </w:p>
        </w:tc>
        <w:tc>
          <w:tcPr>
            <w:tcW w:w="708" w:type="dxa"/>
            <w:noWrap w:val="0"/>
            <w:vAlign w:val="center"/>
          </w:tcPr>
          <w:p>
            <w:pPr>
              <w:widowControl/>
              <w:spacing w:line="300" w:lineRule="exact"/>
              <w:jc w:val="center"/>
              <w:rPr>
                <w:rFonts w:hint="eastAsia" w:ascii="黑体" w:hAnsi="黑体" w:eastAsia="黑体" w:cs="宋体"/>
                <w:bCs/>
                <w:spacing w:val="0"/>
                <w:sz w:val="21"/>
                <w:szCs w:val="21"/>
              </w:rPr>
            </w:pPr>
            <w:r>
              <w:rPr>
                <w:rFonts w:hint="eastAsia" w:ascii="黑体" w:hAnsi="黑体" w:eastAsia="黑体" w:cs="宋体"/>
                <w:bCs/>
                <w:spacing w:val="0"/>
                <w:sz w:val="21"/>
                <w:szCs w:val="21"/>
              </w:rPr>
              <w:t>样品数量</w:t>
            </w:r>
          </w:p>
        </w:tc>
        <w:tc>
          <w:tcPr>
            <w:tcW w:w="1134" w:type="dxa"/>
            <w:noWrap w:val="0"/>
            <w:vAlign w:val="center"/>
          </w:tcPr>
          <w:p>
            <w:pPr>
              <w:widowControl/>
              <w:spacing w:line="240" w:lineRule="auto"/>
              <w:jc w:val="center"/>
              <w:rPr>
                <w:rFonts w:hint="eastAsia" w:ascii="黑体" w:hAnsi="黑体" w:eastAsia="黑体" w:cs="宋体"/>
                <w:bCs/>
                <w:spacing w:val="0"/>
                <w:sz w:val="21"/>
                <w:szCs w:val="21"/>
              </w:rPr>
            </w:pPr>
            <w:r>
              <w:rPr>
                <w:rFonts w:hint="eastAsia" w:ascii="黑体" w:hAnsi="黑体" w:eastAsia="黑体" w:cs="宋体"/>
                <w:bCs/>
                <w:spacing w:val="0"/>
                <w:sz w:val="21"/>
                <w:szCs w:val="21"/>
              </w:rPr>
              <w:t>检测日期</w:t>
            </w:r>
          </w:p>
        </w:tc>
        <w:tc>
          <w:tcPr>
            <w:tcW w:w="850" w:type="dxa"/>
            <w:noWrap w:val="0"/>
            <w:vAlign w:val="center"/>
          </w:tcPr>
          <w:p>
            <w:pPr>
              <w:widowControl/>
              <w:spacing w:line="240" w:lineRule="auto"/>
              <w:jc w:val="center"/>
              <w:rPr>
                <w:rFonts w:hint="eastAsia" w:ascii="黑体" w:hAnsi="黑体" w:eastAsia="黑体" w:cs="宋体"/>
                <w:bCs/>
                <w:spacing w:val="0"/>
                <w:sz w:val="21"/>
                <w:szCs w:val="21"/>
              </w:rPr>
            </w:pPr>
            <w:r>
              <w:rPr>
                <w:rFonts w:hint="eastAsia" w:ascii="黑体" w:hAnsi="黑体" w:eastAsia="黑体" w:cs="宋体"/>
                <w:bCs/>
                <w:spacing w:val="0"/>
                <w:sz w:val="21"/>
                <w:szCs w:val="21"/>
              </w:rPr>
              <w:t>阳性数</w:t>
            </w:r>
          </w:p>
        </w:tc>
        <w:tc>
          <w:tcPr>
            <w:tcW w:w="851" w:type="dxa"/>
            <w:noWrap w:val="0"/>
            <w:vAlign w:val="center"/>
          </w:tcPr>
          <w:p>
            <w:pPr>
              <w:widowControl/>
              <w:spacing w:line="240" w:lineRule="auto"/>
              <w:jc w:val="center"/>
              <w:rPr>
                <w:rFonts w:hint="eastAsia" w:ascii="黑体" w:hAnsi="黑体" w:eastAsia="黑体" w:cs="宋体"/>
                <w:bCs/>
                <w:spacing w:val="0"/>
                <w:sz w:val="21"/>
                <w:szCs w:val="21"/>
              </w:rPr>
            </w:pPr>
            <w:r>
              <w:rPr>
                <w:rFonts w:hint="eastAsia" w:ascii="黑体" w:hAnsi="黑体" w:eastAsia="黑体" w:cs="宋体"/>
                <w:bCs/>
                <w:spacing w:val="0"/>
                <w:sz w:val="21"/>
                <w:szCs w:val="21"/>
              </w:rPr>
              <w:t>阴性数</w:t>
            </w:r>
          </w:p>
        </w:tc>
        <w:tc>
          <w:tcPr>
            <w:tcW w:w="1195" w:type="dxa"/>
            <w:noWrap w:val="0"/>
            <w:vAlign w:val="center"/>
          </w:tcPr>
          <w:p>
            <w:pPr>
              <w:widowControl/>
              <w:spacing w:line="240" w:lineRule="auto"/>
              <w:jc w:val="center"/>
              <w:rPr>
                <w:rFonts w:hint="eastAsia" w:ascii="黑体" w:hAnsi="黑体" w:eastAsia="黑体" w:cs="宋体"/>
                <w:bCs/>
                <w:spacing w:val="0"/>
                <w:sz w:val="21"/>
                <w:szCs w:val="21"/>
              </w:rPr>
            </w:pPr>
            <w:r>
              <w:rPr>
                <w:rFonts w:hint="eastAsia" w:ascii="黑体" w:hAnsi="黑体" w:eastAsia="黑体" w:cs="宋体"/>
                <w:bCs/>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pPr>
              <w:widowControl/>
              <w:spacing w:line="240" w:lineRule="auto"/>
              <w:jc w:val="left"/>
              <w:rPr>
                <w:rFonts w:hint="eastAsia" w:ascii="仿宋_GB2312" w:hAnsi="宋体" w:eastAsia="仿宋_GB2312" w:cs="宋体"/>
                <w:b/>
                <w:bCs/>
                <w:spacing w:val="0"/>
                <w:sz w:val="22"/>
                <w:szCs w:val="24"/>
              </w:rPr>
            </w:pPr>
          </w:p>
        </w:tc>
        <w:tc>
          <w:tcPr>
            <w:tcW w:w="2268"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709"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2410"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850"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1135"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1134"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708"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1134"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850" w:type="dxa"/>
            <w:noWrap w:val="0"/>
            <w:vAlign w:val="center"/>
          </w:tcPr>
          <w:p>
            <w:pPr>
              <w:spacing w:line="240" w:lineRule="auto"/>
              <w:rPr>
                <w:rFonts w:hint="eastAsia" w:ascii="仿宋_GB2312" w:hAnsi="宋体" w:eastAsia="仿宋_GB2312" w:cs="宋体"/>
                <w:b/>
                <w:bCs/>
                <w:spacing w:val="0"/>
                <w:sz w:val="21"/>
                <w:szCs w:val="21"/>
              </w:rPr>
            </w:pPr>
          </w:p>
        </w:tc>
        <w:tc>
          <w:tcPr>
            <w:tcW w:w="851" w:type="dxa"/>
            <w:noWrap w:val="0"/>
            <w:vAlign w:val="center"/>
          </w:tcPr>
          <w:p>
            <w:pPr>
              <w:spacing w:line="240" w:lineRule="auto"/>
              <w:rPr>
                <w:rFonts w:hint="eastAsia" w:ascii="仿宋_GB2312" w:hAnsi="宋体" w:eastAsia="仿宋_GB2312" w:cs="宋体"/>
                <w:b/>
                <w:bCs/>
                <w:spacing w:val="0"/>
                <w:sz w:val="21"/>
                <w:szCs w:val="21"/>
              </w:rPr>
            </w:pPr>
          </w:p>
        </w:tc>
        <w:tc>
          <w:tcPr>
            <w:tcW w:w="1195" w:type="dxa"/>
            <w:noWrap w:val="0"/>
            <w:vAlign w:val="center"/>
          </w:tcPr>
          <w:p>
            <w:pPr>
              <w:spacing w:line="240" w:lineRule="auto"/>
              <w:rPr>
                <w:rFonts w:hint="eastAsia" w:ascii="仿宋_GB2312" w:hAnsi="宋体" w:eastAsia="仿宋_GB2312" w:cs="宋体"/>
                <w:b/>
                <w:bCs/>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pPr>
              <w:widowControl/>
              <w:spacing w:line="240" w:lineRule="auto"/>
              <w:jc w:val="left"/>
              <w:rPr>
                <w:rFonts w:hint="eastAsia" w:ascii="仿宋_GB2312" w:hAnsi="宋体" w:eastAsia="仿宋_GB2312" w:cs="宋体"/>
                <w:b/>
                <w:bCs/>
                <w:spacing w:val="0"/>
                <w:sz w:val="22"/>
                <w:szCs w:val="24"/>
              </w:rPr>
            </w:pPr>
          </w:p>
        </w:tc>
        <w:tc>
          <w:tcPr>
            <w:tcW w:w="2268"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709"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2410"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850"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1135"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1134"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708"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1134"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850" w:type="dxa"/>
            <w:noWrap w:val="0"/>
            <w:vAlign w:val="center"/>
          </w:tcPr>
          <w:p>
            <w:pPr>
              <w:spacing w:line="240" w:lineRule="auto"/>
              <w:rPr>
                <w:rFonts w:hint="eastAsia" w:ascii="仿宋_GB2312" w:hAnsi="黑体" w:eastAsia="仿宋_GB2312"/>
                <w:spacing w:val="0"/>
                <w:sz w:val="30"/>
                <w:szCs w:val="30"/>
              </w:rPr>
            </w:pPr>
          </w:p>
        </w:tc>
        <w:tc>
          <w:tcPr>
            <w:tcW w:w="851" w:type="dxa"/>
            <w:noWrap w:val="0"/>
            <w:vAlign w:val="center"/>
          </w:tcPr>
          <w:p>
            <w:pPr>
              <w:spacing w:line="240" w:lineRule="auto"/>
              <w:rPr>
                <w:rFonts w:hint="eastAsia" w:ascii="仿宋_GB2312" w:hAnsi="黑体" w:eastAsia="仿宋_GB2312"/>
                <w:spacing w:val="0"/>
                <w:sz w:val="30"/>
                <w:szCs w:val="30"/>
              </w:rPr>
            </w:pPr>
          </w:p>
        </w:tc>
        <w:tc>
          <w:tcPr>
            <w:tcW w:w="1195" w:type="dxa"/>
            <w:noWrap w:val="0"/>
            <w:vAlign w:val="center"/>
          </w:tcPr>
          <w:p>
            <w:pPr>
              <w:spacing w:line="240" w:lineRule="auto"/>
              <w:rPr>
                <w:rFonts w:hint="eastAsia" w:ascii="仿宋_GB2312" w:hAnsi="黑体" w:eastAsia="仿宋_GB2312"/>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pPr>
              <w:widowControl/>
              <w:spacing w:line="240" w:lineRule="auto"/>
              <w:jc w:val="left"/>
              <w:rPr>
                <w:rFonts w:hint="eastAsia" w:ascii="仿宋_GB2312" w:hAnsi="宋体" w:eastAsia="仿宋_GB2312" w:cs="宋体"/>
                <w:b/>
                <w:bCs/>
                <w:spacing w:val="0"/>
                <w:sz w:val="22"/>
                <w:szCs w:val="24"/>
              </w:rPr>
            </w:pPr>
          </w:p>
        </w:tc>
        <w:tc>
          <w:tcPr>
            <w:tcW w:w="2268"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709"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2410"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850"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1135"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1134"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708"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1134"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850" w:type="dxa"/>
            <w:noWrap w:val="0"/>
            <w:vAlign w:val="center"/>
          </w:tcPr>
          <w:p>
            <w:pPr>
              <w:spacing w:line="240" w:lineRule="auto"/>
              <w:rPr>
                <w:rFonts w:hint="eastAsia" w:ascii="仿宋_GB2312" w:hAnsi="黑体" w:eastAsia="仿宋_GB2312"/>
                <w:spacing w:val="0"/>
                <w:sz w:val="30"/>
                <w:szCs w:val="30"/>
              </w:rPr>
            </w:pPr>
          </w:p>
        </w:tc>
        <w:tc>
          <w:tcPr>
            <w:tcW w:w="851" w:type="dxa"/>
            <w:noWrap w:val="0"/>
            <w:vAlign w:val="center"/>
          </w:tcPr>
          <w:p>
            <w:pPr>
              <w:spacing w:line="240" w:lineRule="auto"/>
              <w:rPr>
                <w:rFonts w:hint="eastAsia" w:ascii="仿宋_GB2312" w:hAnsi="黑体" w:eastAsia="仿宋_GB2312"/>
                <w:spacing w:val="0"/>
                <w:sz w:val="30"/>
                <w:szCs w:val="30"/>
              </w:rPr>
            </w:pPr>
          </w:p>
        </w:tc>
        <w:tc>
          <w:tcPr>
            <w:tcW w:w="1195" w:type="dxa"/>
            <w:noWrap w:val="0"/>
            <w:vAlign w:val="center"/>
          </w:tcPr>
          <w:p>
            <w:pPr>
              <w:spacing w:line="240" w:lineRule="auto"/>
              <w:rPr>
                <w:rFonts w:hint="eastAsia" w:ascii="仿宋_GB2312" w:hAnsi="黑体" w:eastAsia="仿宋_GB2312"/>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pPr>
              <w:widowControl/>
              <w:spacing w:line="240" w:lineRule="auto"/>
              <w:jc w:val="left"/>
              <w:rPr>
                <w:rFonts w:hint="eastAsia" w:ascii="仿宋_GB2312" w:hAnsi="宋体" w:eastAsia="仿宋_GB2312" w:cs="宋体"/>
                <w:b/>
                <w:bCs/>
                <w:spacing w:val="0"/>
                <w:sz w:val="22"/>
                <w:szCs w:val="24"/>
              </w:rPr>
            </w:pPr>
          </w:p>
        </w:tc>
        <w:tc>
          <w:tcPr>
            <w:tcW w:w="2268"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709"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2410"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850"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1135"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1134"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708"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1134"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850" w:type="dxa"/>
            <w:noWrap w:val="0"/>
            <w:vAlign w:val="center"/>
          </w:tcPr>
          <w:p>
            <w:pPr>
              <w:spacing w:line="240" w:lineRule="auto"/>
              <w:rPr>
                <w:rFonts w:hint="eastAsia" w:ascii="仿宋_GB2312" w:hAnsi="黑体" w:eastAsia="仿宋_GB2312"/>
                <w:spacing w:val="0"/>
                <w:sz w:val="30"/>
                <w:szCs w:val="30"/>
              </w:rPr>
            </w:pPr>
          </w:p>
        </w:tc>
        <w:tc>
          <w:tcPr>
            <w:tcW w:w="851" w:type="dxa"/>
            <w:noWrap w:val="0"/>
            <w:vAlign w:val="center"/>
          </w:tcPr>
          <w:p>
            <w:pPr>
              <w:spacing w:line="240" w:lineRule="auto"/>
              <w:rPr>
                <w:rFonts w:hint="eastAsia" w:ascii="仿宋_GB2312" w:hAnsi="黑体" w:eastAsia="仿宋_GB2312"/>
                <w:spacing w:val="0"/>
                <w:sz w:val="30"/>
                <w:szCs w:val="30"/>
              </w:rPr>
            </w:pPr>
          </w:p>
        </w:tc>
        <w:tc>
          <w:tcPr>
            <w:tcW w:w="1195" w:type="dxa"/>
            <w:noWrap w:val="0"/>
            <w:vAlign w:val="center"/>
          </w:tcPr>
          <w:p>
            <w:pPr>
              <w:spacing w:line="240" w:lineRule="auto"/>
              <w:rPr>
                <w:rFonts w:hint="eastAsia" w:ascii="仿宋_GB2312" w:hAnsi="黑体" w:eastAsia="仿宋_GB2312"/>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pPr>
              <w:widowControl/>
              <w:spacing w:line="240" w:lineRule="auto"/>
              <w:jc w:val="left"/>
              <w:rPr>
                <w:rFonts w:hint="eastAsia" w:ascii="仿宋_GB2312" w:hAnsi="宋体" w:eastAsia="仿宋_GB2312" w:cs="宋体"/>
                <w:b/>
                <w:bCs/>
                <w:spacing w:val="0"/>
                <w:sz w:val="22"/>
                <w:szCs w:val="24"/>
              </w:rPr>
            </w:pPr>
          </w:p>
        </w:tc>
        <w:tc>
          <w:tcPr>
            <w:tcW w:w="2268"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709"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2410"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850"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1135"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1134"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708"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1134" w:type="dxa"/>
            <w:noWrap w:val="0"/>
            <w:vAlign w:val="center"/>
          </w:tcPr>
          <w:p>
            <w:pPr>
              <w:widowControl/>
              <w:spacing w:line="240" w:lineRule="auto"/>
              <w:jc w:val="left"/>
              <w:rPr>
                <w:rFonts w:hint="eastAsia" w:ascii="仿宋_GB2312" w:hAnsi="宋体" w:eastAsia="仿宋_GB2312" w:cs="宋体"/>
                <w:b/>
                <w:bCs/>
                <w:spacing w:val="0"/>
                <w:sz w:val="21"/>
                <w:szCs w:val="21"/>
              </w:rPr>
            </w:pPr>
          </w:p>
        </w:tc>
        <w:tc>
          <w:tcPr>
            <w:tcW w:w="850" w:type="dxa"/>
            <w:noWrap w:val="0"/>
            <w:vAlign w:val="center"/>
          </w:tcPr>
          <w:p>
            <w:pPr>
              <w:spacing w:line="240" w:lineRule="auto"/>
              <w:rPr>
                <w:rFonts w:hint="eastAsia" w:ascii="仿宋_GB2312" w:hAnsi="黑体" w:eastAsia="仿宋_GB2312"/>
                <w:spacing w:val="0"/>
                <w:sz w:val="30"/>
                <w:szCs w:val="30"/>
              </w:rPr>
            </w:pPr>
          </w:p>
        </w:tc>
        <w:tc>
          <w:tcPr>
            <w:tcW w:w="851" w:type="dxa"/>
            <w:noWrap w:val="0"/>
            <w:vAlign w:val="center"/>
          </w:tcPr>
          <w:p>
            <w:pPr>
              <w:spacing w:line="240" w:lineRule="auto"/>
              <w:rPr>
                <w:rFonts w:hint="eastAsia" w:ascii="仿宋_GB2312" w:hAnsi="黑体" w:eastAsia="仿宋_GB2312"/>
                <w:spacing w:val="0"/>
                <w:sz w:val="30"/>
                <w:szCs w:val="30"/>
              </w:rPr>
            </w:pPr>
          </w:p>
        </w:tc>
        <w:tc>
          <w:tcPr>
            <w:tcW w:w="1195" w:type="dxa"/>
            <w:noWrap w:val="0"/>
            <w:vAlign w:val="center"/>
          </w:tcPr>
          <w:p>
            <w:pPr>
              <w:spacing w:line="240" w:lineRule="auto"/>
              <w:rPr>
                <w:rFonts w:hint="eastAsia" w:ascii="仿宋_GB2312" w:hAnsi="黑体" w:eastAsia="仿宋_GB2312"/>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pPr>
              <w:spacing w:line="240" w:lineRule="auto"/>
              <w:rPr>
                <w:rFonts w:hint="eastAsia" w:ascii="仿宋_GB2312" w:hAnsi="黑体" w:eastAsia="仿宋_GB2312"/>
                <w:spacing w:val="0"/>
                <w:sz w:val="30"/>
                <w:szCs w:val="30"/>
              </w:rPr>
            </w:pPr>
          </w:p>
        </w:tc>
        <w:tc>
          <w:tcPr>
            <w:tcW w:w="2268" w:type="dxa"/>
            <w:noWrap w:val="0"/>
            <w:vAlign w:val="center"/>
          </w:tcPr>
          <w:p>
            <w:pPr>
              <w:spacing w:line="240" w:lineRule="auto"/>
              <w:rPr>
                <w:rFonts w:hint="eastAsia" w:ascii="仿宋_GB2312" w:hAnsi="黑体" w:eastAsia="仿宋_GB2312"/>
                <w:spacing w:val="0"/>
                <w:sz w:val="30"/>
                <w:szCs w:val="30"/>
              </w:rPr>
            </w:pPr>
          </w:p>
        </w:tc>
        <w:tc>
          <w:tcPr>
            <w:tcW w:w="709" w:type="dxa"/>
            <w:noWrap w:val="0"/>
            <w:vAlign w:val="center"/>
          </w:tcPr>
          <w:p>
            <w:pPr>
              <w:spacing w:line="240" w:lineRule="auto"/>
              <w:rPr>
                <w:rFonts w:hint="eastAsia" w:ascii="仿宋_GB2312" w:hAnsi="黑体" w:eastAsia="仿宋_GB2312"/>
                <w:spacing w:val="0"/>
                <w:sz w:val="30"/>
                <w:szCs w:val="30"/>
              </w:rPr>
            </w:pPr>
          </w:p>
        </w:tc>
        <w:tc>
          <w:tcPr>
            <w:tcW w:w="2410" w:type="dxa"/>
            <w:noWrap w:val="0"/>
            <w:vAlign w:val="center"/>
          </w:tcPr>
          <w:p>
            <w:pPr>
              <w:spacing w:line="240" w:lineRule="auto"/>
              <w:rPr>
                <w:rFonts w:hint="eastAsia" w:ascii="仿宋_GB2312" w:hAnsi="黑体" w:eastAsia="仿宋_GB2312"/>
                <w:spacing w:val="0"/>
                <w:sz w:val="30"/>
                <w:szCs w:val="30"/>
              </w:rPr>
            </w:pPr>
          </w:p>
        </w:tc>
        <w:tc>
          <w:tcPr>
            <w:tcW w:w="850" w:type="dxa"/>
            <w:noWrap w:val="0"/>
            <w:vAlign w:val="center"/>
          </w:tcPr>
          <w:p>
            <w:pPr>
              <w:spacing w:line="240" w:lineRule="auto"/>
              <w:rPr>
                <w:rFonts w:hint="eastAsia" w:ascii="仿宋_GB2312" w:hAnsi="黑体" w:eastAsia="仿宋_GB2312"/>
                <w:spacing w:val="0"/>
                <w:sz w:val="30"/>
                <w:szCs w:val="30"/>
              </w:rPr>
            </w:pPr>
          </w:p>
        </w:tc>
        <w:tc>
          <w:tcPr>
            <w:tcW w:w="1135" w:type="dxa"/>
            <w:noWrap w:val="0"/>
            <w:vAlign w:val="center"/>
          </w:tcPr>
          <w:p>
            <w:pPr>
              <w:spacing w:line="240" w:lineRule="auto"/>
              <w:rPr>
                <w:rFonts w:hint="eastAsia" w:ascii="仿宋_GB2312" w:hAnsi="黑体" w:eastAsia="仿宋_GB2312"/>
                <w:spacing w:val="0"/>
                <w:sz w:val="30"/>
                <w:szCs w:val="30"/>
              </w:rPr>
            </w:pPr>
          </w:p>
        </w:tc>
        <w:tc>
          <w:tcPr>
            <w:tcW w:w="1134" w:type="dxa"/>
            <w:noWrap w:val="0"/>
            <w:vAlign w:val="center"/>
          </w:tcPr>
          <w:p>
            <w:pPr>
              <w:spacing w:line="240" w:lineRule="auto"/>
              <w:rPr>
                <w:rFonts w:hint="eastAsia" w:ascii="仿宋_GB2312" w:hAnsi="黑体" w:eastAsia="仿宋_GB2312"/>
                <w:spacing w:val="0"/>
                <w:sz w:val="30"/>
                <w:szCs w:val="30"/>
              </w:rPr>
            </w:pPr>
          </w:p>
        </w:tc>
        <w:tc>
          <w:tcPr>
            <w:tcW w:w="708" w:type="dxa"/>
            <w:noWrap w:val="0"/>
            <w:vAlign w:val="center"/>
          </w:tcPr>
          <w:p>
            <w:pPr>
              <w:spacing w:line="240" w:lineRule="auto"/>
              <w:rPr>
                <w:rFonts w:hint="eastAsia" w:ascii="仿宋_GB2312" w:hAnsi="黑体" w:eastAsia="仿宋_GB2312"/>
                <w:spacing w:val="0"/>
                <w:sz w:val="30"/>
                <w:szCs w:val="30"/>
              </w:rPr>
            </w:pPr>
          </w:p>
        </w:tc>
        <w:tc>
          <w:tcPr>
            <w:tcW w:w="1134" w:type="dxa"/>
            <w:noWrap w:val="0"/>
            <w:vAlign w:val="center"/>
          </w:tcPr>
          <w:p>
            <w:pPr>
              <w:spacing w:line="240" w:lineRule="auto"/>
              <w:rPr>
                <w:rFonts w:hint="eastAsia" w:ascii="仿宋_GB2312" w:hAnsi="黑体" w:eastAsia="仿宋_GB2312"/>
                <w:spacing w:val="0"/>
                <w:sz w:val="30"/>
                <w:szCs w:val="30"/>
              </w:rPr>
            </w:pPr>
          </w:p>
        </w:tc>
        <w:tc>
          <w:tcPr>
            <w:tcW w:w="850" w:type="dxa"/>
            <w:noWrap w:val="0"/>
            <w:vAlign w:val="center"/>
          </w:tcPr>
          <w:p>
            <w:pPr>
              <w:spacing w:line="240" w:lineRule="auto"/>
              <w:rPr>
                <w:rFonts w:hint="eastAsia" w:ascii="仿宋_GB2312" w:hAnsi="黑体" w:eastAsia="仿宋_GB2312"/>
                <w:spacing w:val="0"/>
                <w:sz w:val="30"/>
                <w:szCs w:val="30"/>
              </w:rPr>
            </w:pPr>
          </w:p>
        </w:tc>
        <w:tc>
          <w:tcPr>
            <w:tcW w:w="851" w:type="dxa"/>
            <w:noWrap w:val="0"/>
            <w:vAlign w:val="center"/>
          </w:tcPr>
          <w:p>
            <w:pPr>
              <w:spacing w:line="240" w:lineRule="auto"/>
              <w:rPr>
                <w:rFonts w:hint="eastAsia" w:ascii="仿宋_GB2312" w:hAnsi="黑体" w:eastAsia="仿宋_GB2312"/>
                <w:spacing w:val="0"/>
                <w:sz w:val="30"/>
                <w:szCs w:val="30"/>
              </w:rPr>
            </w:pPr>
          </w:p>
        </w:tc>
        <w:tc>
          <w:tcPr>
            <w:tcW w:w="1195" w:type="dxa"/>
            <w:noWrap w:val="0"/>
            <w:vAlign w:val="center"/>
          </w:tcPr>
          <w:p>
            <w:pPr>
              <w:spacing w:line="240" w:lineRule="auto"/>
              <w:rPr>
                <w:rFonts w:hint="eastAsia" w:ascii="仿宋_GB2312" w:hAnsi="黑体" w:eastAsia="仿宋_GB2312"/>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pPr>
              <w:spacing w:line="240" w:lineRule="auto"/>
              <w:rPr>
                <w:rFonts w:hint="eastAsia" w:ascii="仿宋_GB2312" w:hAnsi="黑体" w:eastAsia="仿宋_GB2312"/>
                <w:spacing w:val="0"/>
                <w:sz w:val="30"/>
                <w:szCs w:val="30"/>
              </w:rPr>
            </w:pPr>
          </w:p>
        </w:tc>
        <w:tc>
          <w:tcPr>
            <w:tcW w:w="2268" w:type="dxa"/>
            <w:noWrap w:val="0"/>
            <w:vAlign w:val="center"/>
          </w:tcPr>
          <w:p>
            <w:pPr>
              <w:spacing w:line="240" w:lineRule="auto"/>
              <w:rPr>
                <w:rFonts w:hint="eastAsia" w:ascii="仿宋_GB2312" w:hAnsi="黑体" w:eastAsia="仿宋_GB2312"/>
                <w:spacing w:val="0"/>
                <w:sz w:val="30"/>
                <w:szCs w:val="30"/>
              </w:rPr>
            </w:pPr>
          </w:p>
        </w:tc>
        <w:tc>
          <w:tcPr>
            <w:tcW w:w="709" w:type="dxa"/>
            <w:noWrap w:val="0"/>
            <w:vAlign w:val="center"/>
          </w:tcPr>
          <w:p>
            <w:pPr>
              <w:spacing w:line="240" w:lineRule="auto"/>
              <w:rPr>
                <w:rFonts w:hint="eastAsia" w:ascii="仿宋_GB2312" w:hAnsi="黑体" w:eastAsia="仿宋_GB2312"/>
                <w:spacing w:val="0"/>
                <w:sz w:val="30"/>
                <w:szCs w:val="30"/>
              </w:rPr>
            </w:pPr>
          </w:p>
        </w:tc>
        <w:tc>
          <w:tcPr>
            <w:tcW w:w="2410" w:type="dxa"/>
            <w:noWrap w:val="0"/>
            <w:vAlign w:val="center"/>
          </w:tcPr>
          <w:p>
            <w:pPr>
              <w:spacing w:line="240" w:lineRule="auto"/>
              <w:rPr>
                <w:rFonts w:hint="eastAsia" w:ascii="仿宋_GB2312" w:hAnsi="黑体" w:eastAsia="仿宋_GB2312"/>
                <w:spacing w:val="0"/>
                <w:sz w:val="30"/>
                <w:szCs w:val="30"/>
              </w:rPr>
            </w:pPr>
          </w:p>
        </w:tc>
        <w:tc>
          <w:tcPr>
            <w:tcW w:w="850" w:type="dxa"/>
            <w:noWrap w:val="0"/>
            <w:vAlign w:val="center"/>
          </w:tcPr>
          <w:p>
            <w:pPr>
              <w:spacing w:line="240" w:lineRule="auto"/>
              <w:rPr>
                <w:rFonts w:hint="eastAsia" w:ascii="仿宋_GB2312" w:hAnsi="黑体" w:eastAsia="仿宋_GB2312"/>
                <w:spacing w:val="0"/>
                <w:sz w:val="30"/>
                <w:szCs w:val="30"/>
              </w:rPr>
            </w:pPr>
          </w:p>
        </w:tc>
        <w:tc>
          <w:tcPr>
            <w:tcW w:w="1135" w:type="dxa"/>
            <w:noWrap w:val="0"/>
            <w:vAlign w:val="center"/>
          </w:tcPr>
          <w:p>
            <w:pPr>
              <w:spacing w:line="240" w:lineRule="auto"/>
              <w:rPr>
                <w:rFonts w:hint="eastAsia" w:ascii="仿宋_GB2312" w:hAnsi="黑体" w:eastAsia="仿宋_GB2312"/>
                <w:spacing w:val="0"/>
                <w:sz w:val="30"/>
                <w:szCs w:val="30"/>
              </w:rPr>
            </w:pPr>
          </w:p>
        </w:tc>
        <w:tc>
          <w:tcPr>
            <w:tcW w:w="1134" w:type="dxa"/>
            <w:noWrap w:val="0"/>
            <w:vAlign w:val="center"/>
          </w:tcPr>
          <w:p>
            <w:pPr>
              <w:spacing w:line="240" w:lineRule="auto"/>
              <w:rPr>
                <w:rFonts w:hint="eastAsia" w:ascii="仿宋_GB2312" w:hAnsi="黑体" w:eastAsia="仿宋_GB2312"/>
                <w:spacing w:val="0"/>
                <w:sz w:val="30"/>
                <w:szCs w:val="30"/>
              </w:rPr>
            </w:pPr>
          </w:p>
        </w:tc>
        <w:tc>
          <w:tcPr>
            <w:tcW w:w="708" w:type="dxa"/>
            <w:noWrap w:val="0"/>
            <w:vAlign w:val="center"/>
          </w:tcPr>
          <w:p>
            <w:pPr>
              <w:spacing w:line="240" w:lineRule="auto"/>
              <w:rPr>
                <w:rFonts w:hint="eastAsia" w:ascii="仿宋_GB2312" w:hAnsi="黑体" w:eastAsia="仿宋_GB2312"/>
                <w:spacing w:val="0"/>
                <w:sz w:val="30"/>
                <w:szCs w:val="30"/>
              </w:rPr>
            </w:pPr>
          </w:p>
        </w:tc>
        <w:tc>
          <w:tcPr>
            <w:tcW w:w="1134" w:type="dxa"/>
            <w:noWrap w:val="0"/>
            <w:vAlign w:val="center"/>
          </w:tcPr>
          <w:p>
            <w:pPr>
              <w:spacing w:line="240" w:lineRule="auto"/>
              <w:rPr>
                <w:rFonts w:hint="eastAsia" w:ascii="仿宋_GB2312" w:hAnsi="黑体" w:eastAsia="仿宋_GB2312"/>
                <w:spacing w:val="0"/>
                <w:sz w:val="30"/>
                <w:szCs w:val="30"/>
              </w:rPr>
            </w:pPr>
          </w:p>
        </w:tc>
        <w:tc>
          <w:tcPr>
            <w:tcW w:w="850" w:type="dxa"/>
            <w:noWrap w:val="0"/>
            <w:vAlign w:val="center"/>
          </w:tcPr>
          <w:p>
            <w:pPr>
              <w:spacing w:line="240" w:lineRule="auto"/>
              <w:rPr>
                <w:rFonts w:hint="eastAsia" w:ascii="仿宋_GB2312" w:hAnsi="黑体" w:eastAsia="仿宋_GB2312"/>
                <w:spacing w:val="0"/>
                <w:sz w:val="30"/>
                <w:szCs w:val="30"/>
              </w:rPr>
            </w:pPr>
          </w:p>
        </w:tc>
        <w:tc>
          <w:tcPr>
            <w:tcW w:w="851" w:type="dxa"/>
            <w:noWrap w:val="0"/>
            <w:vAlign w:val="center"/>
          </w:tcPr>
          <w:p>
            <w:pPr>
              <w:spacing w:line="240" w:lineRule="auto"/>
              <w:rPr>
                <w:rFonts w:hint="eastAsia" w:ascii="仿宋_GB2312" w:hAnsi="黑体" w:eastAsia="仿宋_GB2312"/>
                <w:spacing w:val="0"/>
                <w:sz w:val="30"/>
                <w:szCs w:val="30"/>
              </w:rPr>
            </w:pPr>
          </w:p>
        </w:tc>
        <w:tc>
          <w:tcPr>
            <w:tcW w:w="1195" w:type="dxa"/>
            <w:noWrap w:val="0"/>
            <w:vAlign w:val="center"/>
          </w:tcPr>
          <w:p>
            <w:pPr>
              <w:spacing w:line="240" w:lineRule="auto"/>
              <w:rPr>
                <w:rFonts w:hint="eastAsia" w:ascii="仿宋_GB2312" w:hAnsi="黑体" w:eastAsia="仿宋_GB2312"/>
                <w:spacing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noWrap w:val="0"/>
            <w:vAlign w:val="center"/>
          </w:tcPr>
          <w:p>
            <w:pPr>
              <w:spacing w:line="240" w:lineRule="auto"/>
              <w:rPr>
                <w:rFonts w:hint="eastAsia" w:ascii="仿宋_GB2312" w:hAnsi="黑体" w:eastAsia="仿宋_GB2312"/>
                <w:spacing w:val="0"/>
                <w:sz w:val="30"/>
                <w:szCs w:val="30"/>
              </w:rPr>
            </w:pPr>
          </w:p>
        </w:tc>
        <w:tc>
          <w:tcPr>
            <w:tcW w:w="2268" w:type="dxa"/>
            <w:noWrap w:val="0"/>
            <w:vAlign w:val="center"/>
          </w:tcPr>
          <w:p>
            <w:pPr>
              <w:spacing w:line="240" w:lineRule="auto"/>
              <w:rPr>
                <w:rFonts w:hint="eastAsia" w:ascii="仿宋_GB2312" w:hAnsi="黑体" w:eastAsia="仿宋_GB2312"/>
                <w:spacing w:val="0"/>
                <w:sz w:val="30"/>
                <w:szCs w:val="30"/>
              </w:rPr>
            </w:pPr>
          </w:p>
        </w:tc>
        <w:tc>
          <w:tcPr>
            <w:tcW w:w="709" w:type="dxa"/>
            <w:noWrap w:val="0"/>
            <w:vAlign w:val="center"/>
          </w:tcPr>
          <w:p>
            <w:pPr>
              <w:spacing w:line="240" w:lineRule="auto"/>
              <w:rPr>
                <w:rFonts w:hint="eastAsia" w:ascii="仿宋_GB2312" w:hAnsi="黑体" w:eastAsia="仿宋_GB2312"/>
                <w:spacing w:val="0"/>
                <w:sz w:val="30"/>
                <w:szCs w:val="30"/>
              </w:rPr>
            </w:pPr>
          </w:p>
        </w:tc>
        <w:tc>
          <w:tcPr>
            <w:tcW w:w="2410" w:type="dxa"/>
            <w:noWrap w:val="0"/>
            <w:vAlign w:val="center"/>
          </w:tcPr>
          <w:p>
            <w:pPr>
              <w:spacing w:line="240" w:lineRule="auto"/>
              <w:rPr>
                <w:rFonts w:hint="eastAsia" w:ascii="仿宋_GB2312" w:hAnsi="黑体" w:eastAsia="仿宋_GB2312"/>
                <w:spacing w:val="0"/>
                <w:sz w:val="30"/>
                <w:szCs w:val="30"/>
              </w:rPr>
            </w:pPr>
          </w:p>
        </w:tc>
        <w:tc>
          <w:tcPr>
            <w:tcW w:w="850" w:type="dxa"/>
            <w:noWrap w:val="0"/>
            <w:vAlign w:val="center"/>
          </w:tcPr>
          <w:p>
            <w:pPr>
              <w:spacing w:line="240" w:lineRule="auto"/>
              <w:rPr>
                <w:rFonts w:hint="eastAsia" w:ascii="仿宋_GB2312" w:hAnsi="黑体" w:eastAsia="仿宋_GB2312"/>
                <w:spacing w:val="0"/>
                <w:sz w:val="30"/>
                <w:szCs w:val="30"/>
              </w:rPr>
            </w:pPr>
          </w:p>
        </w:tc>
        <w:tc>
          <w:tcPr>
            <w:tcW w:w="1135" w:type="dxa"/>
            <w:noWrap w:val="0"/>
            <w:vAlign w:val="center"/>
          </w:tcPr>
          <w:p>
            <w:pPr>
              <w:spacing w:line="240" w:lineRule="auto"/>
              <w:rPr>
                <w:rFonts w:hint="eastAsia" w:ascii="仿宋_GB2312" w:hAnsi="黑体" w:eastAsia="仿宋_GB2312"/>
                <w:spacing w:val="0"/>
                <w:sz w:val="30"/>
                <w:szCs w:val="30"/>
              </w:rPr>
            </w:pPr>
          </w:p>
        </w:tc>
        <w:tc>
          <w:tcPr>
            <w:tcW w:w="1134" w:type="dxa"/>
            <w:noWrap w:val="0"/>
            <w:vAlign w:val="center"/>
          </w:tcPr>
          <w:p>
            <w:pPr>
              <w:spacing w:line="240" w:lineRule="auto"/>
              <w:rPr>
                <w:rFonts w:hint="eastAsia" w:ascii="仿宋_GB2312" w:hAnsi="黑体" w:eastAsia="仿宋_GB2312"/>
                <w:spacing w:val="0"/>
                <w:sz w:val="30"/>
                <w:szCs w:val="30"/>
              </w:rPr>
            </w:pPr>
          </w:p>
        </w:tc>
        <w:tc>
          <w:tcPr>
            <w:tcW w:w="708" w:type="dxa"/>
            <w:noWrap w:val="0"/>
            <w:vAlign w:val="center"/>
          </w:tcPr>
          <w:p>
            <w:pPr>
              <w:spacing w:line="240" w:lineRule="auto"/>
              <w:rPr>
                <w:rFonts w:hint="eastAsia" w:ascii="仿宋_GB2312" w:hAnsi="黑体" w:eastAsia="仿宋_GB2312"/>
                <w:spacing w:val="0"/>
                <w:sz w:val="30"/>
                <w:szCs w:val="30"/>
              </w:rPr>
            </w:pPr>
          </w:p>
        </w:tc>
        <w:tc>
          <w:tcPr>
            <w:tcW w:w="1134" w:type="dxa"/>
            <w:noWrap w:val="0"/>
            <w:vAlign w:val="center"/>
          </w:tcPr>
          <w:p>
            <w:pPr>
              <w:spacing w:line="240" w:lineRule="auto"/>
              <w:rPr>
                <w:rFonts w:hint="eastAsia" w:ascii="仿宋_GB2312" w:hAnsi="黑体" w:eastAsia="仿宋_GB2312"/>
                <w:spacing w:val="0"/>
                <w:sz w:val="30"/>
                <w:szCs w:val="30"/>
              </w:rPr>
            </w:pPr>
          </w:p>
        </w:tc>
        <w:tc>
          <w:tcPr>
            <w:tcW w:w="850" w:type="dxa"/>
            <w:noWrap w:val="0"/>
            <w:vAlign w:val="center"/>
          </w:tcPr>
          <w:p>
            <w:pPr>
              <w:spacing w:line="240" w:lineRule="auto"/>
              <w:rPr>
                <w:rFonts w:hint="eastAsia" w:ascii="仿宋_GB2312" w:hAnsi="黑体" w:eastAsia="仿宋_GB2312"/>
                <w:spacing w:val="0"/>
                <w:sz w:val="30"/>
                <w:szCs w:val="30"/>
              </w:rPr>
            </w:pPr>
          </w:p>
        </w:tc>
        <w:tc>
          <w:tcPr>
            <w:tcW w:w="851" w:type="dxa"/>
            <w:noWrap w:val="0"/>
            <w:vAlign w:val="center"/>
          </w:tcPr>
          <w:p>
            <w:pPr>
              <w:spacing w:line="240" w:lineRule="auto"/>
              <w:rPr>
                <w:rFonts w:hint="eastAsia" w:ascii="仿宋_GB2312" w:hAnsi="黑体" w:eastAsia="仿宋_GB2312"/>
                <w:spacing w:val="0"/>
                <w:sz w:val="30"/>
                <w:szCs w:val="30"/>
              </w:rPr>
            </w:pPr>
          </w:p>
        </w:tc>
        <w:tc>
          <w:tcPr>
            <w:tcW w:w="1195" w:type="dxa"/>
            <w:noWrap w:val="0"/>
            <w:vAlign w:val="center"/>
          </w:tcPr>
          <w:p>
            <w:pPr>
              <w:spacing w:line="240" w:lineRule="auto"/>
              <w:rPr>
                <w:rFonts w:hint="eastAsia" w:ascii="仿宋_GB2312" w:hAnsi="黑体" w:eastAsia="仿宋_GB2312"/>
                <w:spacing w:val="0"/>
                <w:sz w:val="30"/>
                <w:szCs w:val="30"/>
              </w:rPr>
            </w:pPr>
          </w:p>
        </w:tc>
      </w:tr>
    </w:tbl>
    <w:p>
      <w:pPr>
        <w:spacing w:line="300" w:lineRule="exact"/>
        <w:rPr>
          <w:rFonts w:hint="eastAsia" w:ascii="仿宋_GB2312" w:hAnsi="宋体" w:eastAsia="仿宋_GB2312" w:cs="宋体"/>
          <w:spacing w:val="0"/>
          <w:sz w:val="22"/>
          <w:szCs w:val="24"/>
        </w:rPr>
      </w:pPr>
      <w:r>
        <w:rPr>
          <w:rFonts w:hint="eastAsia" w:ascii="仿宋_GB2312" w:hAnsi="宋体" w:eastAsia="仿宋_GB2312" w:cs="宋体"/>
          <w:spacing w:val="0"/>
          <w:sz w:val="22"/>
          <w:szCs w:val="24"/>
        </w:rPr>
        <w:t>注：1.序号按照检测批次填写；</w:t>
      </w:r>
    </w:p>
    <w:p>
      <w:pPr>
        <w:spacing w:line="300" w:lineRule="exact"/>
        <w:ind w:firstLine="435"/>
        <w:rPr>
          <w:rFonts w:hint="eastAsia" w:ascii="仿宋_GB2312" w:hAnsi="宋体" w:eastAsia="仿宋_GB2312" w:cs="宋体"/>
          <w:spacing w:val="0"/>
          <w:sz w:val="22"/>
          <w:szCs w:val="24"/>
        </w:rPr>
      </w:pPr>
      <w:r>
        <w:rPr>
          <w:rFonts w:hint="eastAsia" w:ascii="仿宋_GB2312" w:hAnsi="宋体" w:eastAsia="仿宋_GB2312" w:cs="宋体"/>
          <w:spacing w:val="0"/>
          <w:sz w:val="22"/>
          <w:szCs w:val="24"/>
        </w:rPr>
        <w:t>2.场点类型包括养殖场、屠宰场、食品批发市场、肉制品加工企业、冷库、洗消中心等；3.样品类型包括生猪产品、生猪制品、血样、环</w:t>
      </w:r>
    </w:p>
    <w:p>
      <w:pPr>
        <w:spacing w:line="300" w:lineRule="exact"/>
        <w:ind w:firstLine="663" w:firstLineChars="307"/>
        <w:rPr>
          <w:rFonts w:hint="eastAsia" w:ascii="黑体" w:hAnsi="黑体" w:eastAsia="黑体"/>
        </w:rPr>
        <w:sectPr>
          <w:footerReference r:id="rId6" w:type="default"/>
          <w:footerReference r:id="rId7" w:type="even"/>
          <w:pgSz w:w="16838" w:h="11906" w:orient="landscape"/>
          <w:pgMar w:top="1871" w:right="1531" w:bottom="1474" w:left="1531" w:header="851" w:footer="1134" w:gutter="0"/>
          <w:pgNumType w:fmt="decimal"/>
          <w:cols w:space="720" w:num="1"/>
          <w:rtlGutter w:val="0"/>
          <w:docGrid w:type="linesAndChars" w:linePitch="579" w:charSpace="-849"/>
        </w:sectPr>
      </w:pPr>
      <w:r>
        <w:rPr>
          <w:rFonts w:hint="eastAsia" w:ascii="仿宋_GB2312" w:hAnsi="宋体" w:eastAsia="仿宋_GB2312" w:cs="宋体"/>
          <w:spacing w:val="0"/>
          <w:sz w:val="22"/>
          <w:szCs w:val="24"/>
        </w:rPr>
        <w:t>境样品等。</w:t>
      </w:r>
    </w:p>
    <mc:AlternateContent>
      <mc:Choice Requires="wpsCustomData">
        <wpsCustomData:docfieldEnd id="0"/>
      </mc:Choice>
    </mc:AlternateContent>
    <w:p>
      <w:pPr>
        <w:pStyle w:val="9"/>
        <w:widowControl w:val="0"/>
        <w:spacing w:before="0" w:beforeAutospacing="0" w:after="0" w:afterAutospacing="0" w:line="200" w:lineRule="exact"/>
        <w:rPr>
          <w:rFonts w:hint="eastAsia" w:ascii="仿宋_GB2312" w:hAnsi="黑体" w:eastAsia="仿宋_GB2312"/>
          <w:color w:val="000000"/>
          <w:sz w:val="32"/>
          <w:szCs w:val="28"/>
        </w:rPr>
      </w:pPr>
      <w:bookmarkStart w:id="0" w:name="_GoBack"/>
      <w:bookmarkEnd w:id="0"/>
    </w:p>
    <w:sectPr>
      <w:pgSz w:w="11906" w:h="16838"/>
      <w:pgMar w:top="1871" w:right="1531" w:bottom="1474" w:left="1531" w:header="851" w:footer="1134" w:gutter="0"/>
      <w:pgNumType w:fmt="decimal"/>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00"/>
    <w:family w:val="modern"/>
    <w:pitch w:val="default"/>
    <w:sig w:usb0="00000000" w:usb1="00000000" w:usb2="00000006" w:usb3="00000000" w:csb0="00040001" w:csb1="00000000"/>
  </w:font>
  <w:font w:name="Cambria">
    <w:altName w:val="FreeSerif"/>
    <w:panose1 w:val="02040503050406030204"/>
    <w:charset w:val="00"/>
    <w:family w:val="roman"/>
    <w:pitch w:val="default"/>
    <w:sig w:usb0="00000000" w:usb1="00000000" w:usb2="00000000"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7</w:t>
    </w:r>
    <w:r>
      <w:rPr>
        <w:rFonts w:hint="eastAsia" w:ascii="仿宋_GB2312" w:eastAsia="仿宋_GB2312"/>
        <w:sz w:val="28"/>
        <w:szCs w:val="28"/>
      </w:rPr>
      <w:fldChar w:fldCharType="end"/>
    </w:r>
    <w:r>
      <w:rPr>
        <w:rFonts w:hint="eastAsia" w:ascii="仿宋_GB2312" w:eastAsia="仿宋_GB2312"/>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7</w:t>
    </w:r>
    <w:r>
      <w:rPr>
        <w:rFonts w:hint="eastAsia" w:ascii="仿宋_GB2312" w:eastAsia="仿宋_GB2312"/>
        <w:sz w:val="28"/>
        <w:szCs w:val="28"/>
      </w:rPr>
      <w:fldChar w:fldCharType="end"/>
    </w:r>
    <w:r>
      <w:rPr>
        <w:rFonts w:hint="eastAsia" w:ascii="仿宋_GB2312" w:eastAsia="仿宋_GB2312"/>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true"/>
  <w:bordersDoNotSurroundFooter w:val="true"/>
  <w:documentProtection w:edit="trackedChanges" w:enforcement="0"/>
  <w:defaultTabStop w:val="420"/>
  <w:hyphenationZone w:val="360"/>
  <w:evenAndOddHeaders w:val="true"/>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C6"/>
    <w:rsid w:val="00050485"/>
    <w:rsid w:val="00085EC6"/>
    <w:rsid w:val="000A135E"/>
    <w:rsid w:val="00117F1E"/>
    <w:rsid w:val="00144155"/>
    <w:rsid w:val="002477B5"/>
    <w:rsid w:val="00297F93"/>
    <w:rsid w:val="002C5620"/>
    <w:rsid w:val="00301A6D"/>
    <w:rsid w:val="003C65C8"/>
    <w:rsid w:val="00430D97"/>
    <w:rsid w:val="0043171C"/>
    <w:rsid w:val="004E1C35"/>
    <w:rsid w:val="0051235C"/>
    <w:rsid w:val="005F5F4D"/>
    <w:rsid w:val="006316D5"/>
    <w:rsid w:val="006464B9"/>
    <w:rsid w:val="006A5175"/>
    <w:rsid w:val="006B5756"/>
    <w:rsid w:val="00786E8A"/>
    <w:rsid w:val="007E07DD"/>
    <w:rsid w:val="00856582"/>
    <w:rsid w:val="009045A7"/>
    <w:rsid w:val="00951F8A"/>
    <w:rsid w:val="009C3CEF"/>
    <w:rsid w:val="00A51A69"/>
    <w:rsid w:val="00B0559E"/>
    <w:rsid w:val="00B135A4"/>
    <w:rsid w:val="00B37047"/>
    <w:rsid w:val="00B74197"/>
    <w:rsid w:val="00B86942"/>
    <w:rsid w:val="00B9787A"/>
    <w:rsid w:val="00C9605C"/>
    <w:rsid w:val="00D654E0"/>
    <w:rsid w:val="00DC501B"/>
    <w:rsid w:val="00E33647"/>
    <w:rsid w:val="00EA4266"/>
    <w:rsid w:val="00FF127B"/>
    <w:rsid w:val="5CDBC20B"/>
    <w:rsid w:val="705C0CA0"/>
    <w:rsid w:val="775FA9CA"/>
    <w:rsid w:val="791206B1"/>
    <w:rsid w:val="B7EB604B"/>
    <w:rsid w:val="DED7D0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新宋体" w:cs="Times New Roman"/>
      <w:kern w:val="2"/>
      <w:sz w:val="32"/>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0"/>
    <w:pPr>
      <w:spacing w:after="120"/>
    </w:pPr>
    <w:rPr>
      <w:rFonts w:ascii="Times New Roman" w:hAnsi="Times New Roman" w:eastAsia="宋体" w:cs="Times New Roman"/>
      <w:sz w:val="21"/>
    </w:rPr>
  </w:style>
  <w:style w:type="paragraph" w:styleId="3">
    <w:name w:val="annotation text"/>
    <w:basedOn w:val="1"/>
    <w:link w:val="19"/>
    <w:semiHidden/>
    <w:unhideWhenUsed/>
    <w:qFormat/>
    <w:uiPriority w:val="99"/>
    <w:pPr>
      <w:jc w:val="left"/>
    </w:pPr>
  </w:style>
  <w:style w:type="paragraph" w:styleId="4">
    <w:name w:val="Date"/>
    <w:basedOn w:val="1"/>
    <w:next w:val="1"/>
    <w:link w:val="26"/>
    <w:semiHidden/>
    <w:unhideWhenUsed/>
    <w:qFormat/>
    <w:uiPriority w:val="99"/>
    <w:pPr>
      <w:ind w:left="100" w:leftChars="2500"/>
    </w:pPr>
    <w:rPr>
      <w:rFonts w:eastAsia="宋体"/>
      <w:sz w:val="21"/>
    </w:rPr>
  </w:style>
  <w:style w:type="paragraph" w:styleId="5">
    <w:name w:val="Balloon Text"/>
    <w:basedOn w:val="1"/>
    <w:link w:val="21"/>
    <w:unhideWhenUsed/>
    <w:qFormat/>
    <w:uiPriority w:val="99"/>
    <w:rPr>
      <w:sz w:val="18"/>
      <w:szCs w:val="18"/>
    </w:rPr>
  </w:style>
  <w:style w:type="paragraph" w:styleId="6">
    <w:name w:val="footer"/>
    <w:basedOn w:val="1"/>
    <w:link w:val="22"/>
    <w:unhideWhenUsed/>
    <w:qFormat/>
    <w:uiPriority w:val="0"/>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rFonts w:ascii="Calibri" w:hAnsi="Calibri" w:eastAsia="宋体" w:cs="Times New Roman"/>
      <w:sz w:val="21"/>
      <w:szCs w:val="24"/>
    </w:rPr>
  </w:style>
  <w:style w:type="paragraph" w:styleId="9">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10">
    <w:name w:val="Title"/>
    <w:basedOn w:val="1"/>
    <w:next w:val="1"/>
    <w:link w:val="23"/>
    <w:qFormat/>
    <w:uiPriority w:val="10"/>
    <w:pPr>
      <w:spacing w:before="240" w:after="60"/>
      <w:jc w:val="center"/>
      <w:outlineLvl w:val="0"/>
    </w:pPr>
    <w:rPr>
      <w:rFonts w:ascii="Cambria" w:hAnsi="Cambria" w:eastAsia="宋体" w:cs="Times New Roman"/>
      <w:b/>
      <w:bCs/>
      <w:sz w:val="32"/>
      <w:szCs w:val="32"/>
    </w:rPr>
  </w:style>
  <w:style w:type="paragraph" w:styleId="11">
    <w:name w:val="annotation subject"/>
    <w:basedOn w:val="3"/>
    <w:next w:val="3"/>
    <w:link w:val="18"/>
    <w:semiHidden/>
    <w:unhideWhenUsed/>
    <w:qFormat/>
    <w:uiPriority w:val="99"/>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rPr>
      <w:rFonts w:ascii="Calibri" w:hAnsi="Calibri" w:eastAsia="宋体" w:cs="Times New Roman"/>
    </w:rPr>
  </w:style>
  <w:style w:type="character" w:styleId="16">
    <w:name w:val="Hyperlink"/>
    <w:basedOn w:val="14"/>
    <w:unhideWhenUsed/>
    <w:qFormat/>
    <w:uiPriority w:val="99"/>
    <w:rPr>
      <w:rFonts w:ascii="Calibri" w:hAnsi="Calibri" w:eastAsia="宋体" w:cs="Times New Roman"/>
      <w:color w:val="0000FF"/>
      <w:u w:val="single"/>
    </w:rPr>
  </w:style>
  <w:style w:type="character" w:styleId="17">
    <w:name w:val="annotation reference"/>
    <w:basedOn w:val="14"/>
    <w:semiHidden/>
    <w:unhideWhenUsed/>
    <w:qFormat/>
    <w:uiPriority w:val="99"/>
    <w:rPr>
      <w:sz w:val="21"/>
      <w:szCs w:val="21"/>
    </w:rPr>
  </w:style>
  <w:style w:type="character" w:customStyle="1" w:styleId="18">
    <w:name w:val="批注主题 Char"/>
    <w:basedOn w:val="19"/>
    <w:link w:val="11"/>
    <w:semiHidden/>
    <w:qFormat/>
    <w:uiPriority w:val="99"/>
    <w:rPr>
      <w:rFonts w:eastAsia="新宋体"/>
      <w:b/>
      <w:bCs/>
      <w:sz w:val="32"/>
    </w:rPr>
  </w:style>
  <w:style w:type="character" w:customStyle="1" w:styleId="19">
    <w:name w:val="批注文字 Char"/>
    <w:basedOn w:val="14"/>
    <w:link w:val="3"/>
    <w:semiHidden/>
    <w:qFormat/>
    <w:uiPriority w:val="99"/>
    <w:rPr>
      <w:rFonts w:eastAsia="新宋体"/>
      <w:sz w:val="32"/>
    </w:rPr>
  </w:style>
  <w:style w:type="character" w:customStyle="1" w:styleId="20">
    <w:name w:val="页眉 Char"/>
    <w:basedOn w:val="14"/>
    <w:link w:val="7"/>
    <w:qFormat/>
    <w:uiPriority w:val="99"/>
    <w:rPr>
      <w:rFonts w:eastAsia="新宋体"/>
      <w:sz w:val="18"/>
      <w:szCs w:val="18"/>
    </w:rPr>
  </w:style>
  <w:style w:type="character" w:customStyle="1" w:styleId="21">
    <w:name w:val="批注框文本 Char"/>
    <w:basedOn w:val="14"/>
    <w:link w:val="5"/>
    <w:semiHidden/>
    <w:qFormat/>
    <w:uiPriority w:val="99"/>
    <w:rPr>
      <w:rFonts w:eastAsia="新宋体"/>
      <w:sz w:val="18"/>
      <w:szCs w:val="18"/>
    </w:rPr>
  </w:style>
  <w:style w:type="character" w:customStyle="1" w:styleId="22">
    <w:name w:val="页脚 Char"/>
    <w:basedOn w:val="14"/>
    <w:link w:val="6"/>
    <w:qFormat/>
    <w:uiPriority w:val="99"/>
    <w:rPr>
      <w:rFonts w:eastAsia="新宋体"/>
      <w:sz w:val="18"/>
      <w:szCs w:val="18"/>
    </w:rPr>
  </w:style>
  <w:style w:type="character" w:customStyle="1" w:styleId="23">
    <w:name w:val="标题 Char"/>
    <w:basedOn w:val="14"/>
    <w:link w:val="10"/>
    <w:qFormat/>
    <w:uiPriority w:val="10"/>
    <w:rPr>
      <w:rFonts w:ascii="Cambria" w:hAnsi="Cambria" w:eastAsia="宋体" w:cs="Times New Roman"/>
      <w:b/>
      <w:bCs/>
      <w:sz w:val="32"/>
      <w:szCs w:val="32"/>
    </w:rPr>
  </w:style>
  <w:style w:type="paragraph" w:customStyle="1" w:styleId="24">
    <w:name w:val="文件格式"/>
    <w:basedOn w:val="1"/>
    <w:qFormat/>
    <w:uiPriority w:val="0"/>
    <w:pPr>
      <w:spacing w:line="600" w:lineRule="exact"/>
      <w:ind w:firstLine="200" w:firstLineChars="200"/>
    </w:pPr>
    <w:rPr>
      <w:rFonts w:ascii="方正小标宋_GBK" w:hAnsi="方正小标宋_GBK" w:eastAsia="仿宋_GB2312" w:cs="Times New Roman"/>
      <w:sz w:val="32"/>
    </w:rPr>
  </w:style>
  <w:style w:type="character" w:customStyle="1" w:styleId="25">
    <w:name w:val="页脚 Char1"/>
    <w:basedOn w:val="14"/>
    <w:qFormat/>
    <w:uiPriority w:val="0"/>
    <w:rPr>
      <w:rFonts w:ascii="Calibri" w:hAnsi="Calibri" w:eastAsia="宋体" w:cs="Times New Roman"/>
      <w:kern w:val="2"/>
      <w:sz w:val="18"/>
      <w:szCs w:val="18"/>
      <w:lang w:val="en-US" w:eastAsia="zh-CN" w:bidi="ar-SA"/>
    </w:rPr>
  </w:style>
  <w:style w:type="character" w:customStyle="1" w:styleId="26">
    <w:name w:val="日期 Char"/>
    <w:basedOn w:val="14"/>
    <w:link w:val="4"/>
    <w:semiHidden/>
    <w:qFormat/>
    <w:uiPriority w:val="99"/>
    <w:rPr>
      <w:rFonts w:ascii="Calibri" w:hAnsi="Calibri" w:eastAsia="宋体" w:cs="Times New Roman"/>
    </w:rPr>
  </w:style>
  <w:style w:type="paragraph" w:customStyle="1" w:styleId="27">
    <w:name w:val="列出段落1"/>
    <w:basedOn w:val="1"/>
    <w:qFormat/>
    <w:uiPriority w:val="99"/>
    <w:pPr>
      <w:ind w:firstLine="420" w:firstLineChars="200"/>
    </w:pPr>
    <w:rPr>
      <w:rFonts w:ascii="Calibri" w:hAnsi="Calibri" w:eastAsia="宋体" w:cs="Calibri"/>
      <w:sz w:val="21"/>
      <w:szCs w:val="21"/>
    </w:rPr>
  </w:style>
  <w:style w:type="character" w:customStyle="1" w:styleId="28">
    <w:name w:val="正文文本 Char"/>
    <w:basedOn w:val="14"/>
    <w:link w:val="2"/>
    <w:qFormat/>
    <w:uiPriority w:val="0"/>
    <w:rPr>
      <w:rFonts w:ascii="Times New Roman" w:hAnsi="Times New Roman" w:eastAsia="宋体" w:cs="Times New Roman"/>
    </w:rPr>
  </w:style>
  <w:style w:type="character" w:styleId="29">
    <w:name w:val="Placeholder Text"/>
    <w:basedOn w:val="14"/>
    <w:semiHidden/>
    <w:qFormat/>
    <w:uiPriority w:val="99"/>
    <w:rPr>
      <w:rFonts w:ascii="Calibri" w:hAnsi="Calibri" w:eastAsia="宋体" w:cs="Times New Roman"/>
      <w:color w:val="808080"/>
    </w:rPr>
  </w:style>
  <w:style w:type="character" w:customStyle="1" w:styleId="30">
    <w:name w:val="NormalCharacter"/>
    <w:qFormat/>
    <w:uiPriority w:val="99"/>
    <w:rPr>
      <w:rFonts w:ascii="Calibri" w:hAnsi="Calibri" w:eastAsia="宋体" w:cs="Times New Roman"/>
    </w:rPr>
  </w:style>
  <w:style w:type="paragraph" w:customStyle="1" w:styleId="31">
    <w:name w:val="Char1"/>
    <w:basedOn w:val="1"/>
    <w:qFormat/>
    <w:uiPriority w:val="99"/>
    <w:pPr>
      <w:tabs>
        <w:tab w:val="left" w:pos="840"/>
      </w:tabs>
      <w:ind w:left="840" w:hanging="420"/>
    </w:pPr>
    <w:rPr>
      <w:rFonts w:ascii="Calibri" w:hAnsi="Calibri" w:eastAsia="仿宋_GB2312" w:cs="Times New Roman"/>
      <w:sz w:val="24"/>
      <w:szCs w:val="24"/>
    </w:rPr>
  </w:style>
  <w:style w:type="table" w:customStyle="1" w:styleId="32">
    <w:name w:val="网格型1"/>
    <w:basedOn w:val="12"/>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
    <w:name w:val="Body text|1"/>
    <w:basedOn w:val="1"/>
    <w:qFormat/>
    <w:uiPriority w:val="0"/>
    <w:pPr>
      <w:spacing w:line="444" w:lineRule="auto"/>
      <w:ind w:firstLine="400"/>
      <w:jc w:val="left"/>
    </w:pPr>
    <w:rPr>
      <w:rFonts w:ascii="宋体" w:hAnsi="宋体" w:eastAsia="宋体" w:cs="宋体"/>
      <w:sz w:val="28"/>
      <w:szCs w:val="28"/>
    </w:rPr>
  </w:style>
  <w:style w:type="paragraph" w:customStyle="1" w:styleId="34">
    <w:name w:val="Table caption|1"/>
    <w:basedOn w:val="1"/>
    <w:qFormat/>
    <w:uiPriority w:val="0"/>
    <w:pPr>
      <w:spacing w:before="100" w:beforeAutospacing="1" w:after="20" w:line="252" w:lineRule="auto"/>
      <w:jc w:val="left"/>
    </w:pPr>
    <w:rPr>
      <w:rFonts w:ascii="宋体" w:hAnsi="宋体" w:eastAsia="宋体" w:cs="宋体"/>
      <w:sz w:val="21"/>
      <w:szCs w:val="21"/>
    </w:rPr>
  </w:style>
  <w:style w:type="paragraph" w:customStyle="1" w:styleId="3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36">
    <w:name w:val="列项——（一级）"/>
    <w:qFormat/>
    <w:uiPriority w:val="0"/>
    <w:pPr>
      <w:widowControl w:val="0"/>
      <w:ind w:left="720" w:hanging="360"/>
      <w:jc w:val="both"/>
    </w:pPr>
    <w:rPr>
      <w:rFonts w:ascii="宋体" w:hAnsi="Times New Roman" w:eastAsia="宋体" w:cs="Times New Roman"/>
      <w:kern w:val="0"/>
      <w:sz w:val="21"/>
      <w:szCs w:val="20"/>
      <w:lang w:val="en-US" w:eastAsia="zh-CN" w:bidi="ar-SA"/>
    </w:rPr>
  </w:style>
  <w:style w:type="paragraph" w:customStyle="1" w:styleId="37">
    <w:name w:val="一级条标题"/>
    <w:next w:val="35"/>
    <w:qFormat/>
    <w:uiPriority w:val="0"/>
    <w:pPr>
      <w:spacing w:beforeLines="50" w:afterLines="50"/>
      <w:ind w:left="840" w:hanging="420"/>
      <w:outlineLvl w:val="2"/>
    </w:pPr>
    <w:rPr>
      <w:rFonts w:ascii="黑体" w:hAnsi="Times New Roman" w:eastAsia="黑体" w:cs="Times New Roman"/>
      <w:kern w:val="0"/>
      <w:sz w:val="21"/>
      <w:szCs w:val="21"/>
      <w:lang w:val="en-US" w:eastAsia="zh-CN" w:bidi="ar-SA"/>
    </w:rPr>
  </w:style>
  <w:style w:type="paragraph" w:customStyle="1" w:styleId="38">
    <w:name w:val="章标题"/>
    <w:next w:val="35"/>
    <w:qFormat/>
    <w:uiPriority w:val="0"/>
    <w:pPr>
      <w:spacing w:beforeLines="100" w:afterLines="100"/>
      <w:ind w:left="360" w:hanging="360"/>
      <w:jc w:val="both"/>
      <w:outlineLvl w:val="1"/>
    </w:pPr>
    <w:rPr>
      <w:rFonts w:ascii="黑体" w:hAnsi="Times New Roman" w:eastAsia="黑体" w:cs="Times New Roman"/>
      <w:kern w:val="0"/>
      <w:sz w:val="21"/>
      <w:szCs w:val="20"/>
      <w:lang w:val="en-US" w:eastAsia="zh-CN" w:bidi="ar-SA"/>
    </w:rPr>
  </w:style>
  <w:style w:type="character" w:customStyle="1" w:styleId="39">
    <w:name w:val="font112"/>
    <w:qFormat/>
    <w:uiPriority w:val="0"/>
    <w:rPr>
      <w:rFonts w:hint="eastAsia" w:ascii="仿宋_GB2312" w:hAnsi="Calibri" w:eastAsia="仿宋_GB2312" w:cs="仿宋_GB2312"/>
      <w:color w:val="000000"/>
      <w:sz w:val="28"/>
      <w:szCs w:val="28"/>
      <w:u w:val="none"/>
    </w:rPr>
  </w:style>
  <w:style w:type="character" w:customStyle="1" w:styleId="40">
    <w:name w:val="font21"/>
    <w:qFormat/>
    <w:uiPriority w:val="0"/>
    <w:rPr>
      <w:rFonts w:hint="eastAsia" w:ascii="仿宋_GB2312" w:hAnsi="Calibri" w:eastAsia="仿宋_GB2312" w:cs="仿宋_GB2312"/>
      <w:color w:val="323232"/>
      <w:sz w:val="24"/>
      <w:szCs w:val="24"/>
      <w:u w:val="none"/>
    </w:rPr>
  </w:style>
  <w:style w:type="character" w:customStyle="1" w:styleId="41">
    <w:name w:val="font11"/>
    <w:qFormat/>
    <w:uiPriority w:val="0"/>
    <w:rPr>
      <w:rFonts w:hint="eastAsia" w:ascii="仿宋_GB2312" w:hAnsi="Calibri" w:eastAsia="仿宋_GB2312" w:cs="仿宋_GB2312"/>
      <w:color w:val="FF0000"/>
      <w:sz w:val="24"/>
      <w:szCs w:val="24"/>
      <w:u w:val="none"/>
    </w:rPr>
  </w:style>
  <w:style w:type="character" w:customStyle="1" w:styleId="42">
    <w:name w:val="font31"/>
    <w:basedOn w:val="14"/>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425</Words>
  <Characters>2425</Characters>
  <Lines>20</Lines>
  <Paragraphs>5</Paragraphs>
  <TotalTime>2</TotalTime>
  <ScaleCrop>false</ScaleCrop>
  <LinksUpToDate>false</LinksUpToDate>
  <CharactersWithSpaces>2845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2017-06-23T10:32:00Z</dcterms:created>
  <dc:creator>听雨</dc:creator>
  <cp:lastModifiedBy>user</cp:lastModifiedBy>
  <cp:lastPrinted>2022-07-04T00:07:00Z</cp:lastPrinted>
  <dcterms:modified xsi:type="dcterms:W3CDTF">2022-07-07T17:13:12Z</dcterms:modified>
  <dc:title>陕农办发〔2022〕89号</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文种">
    <vt:lpwstr/>
  </property>
</Properties>
</file>