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33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</w:pPr>
      <w:bookmarkStart w:id="1" w:name="_GoBack"/>
      <w:bookmarkEnd w:id="1"/>
      <w:bookmarkStart w:id="0" w:name="_Toc16284"/>
      <w:r>
        <w:rPr>
          <w:rFonts w:hint="eastAsia" w:ascii="宋体" w:hAnsi="宋体" w:eastAsia="宋体" w:cs="宋体"/>
          <w:b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过瘤胃脂肪粉质量标准</w:t>
      </w:r>
      <w:bookmarkEnd w:id="0"/>
    </w:p>
    <w:p w14:paraId="6020AD7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 xml:space="preserve"> </w:t>
      </w: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分类</w:t>
      </w:r>
    </w:p>
    <w:p w14:paraId="5195970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 w:leftChars="0" w:firstLine="480" w:firstLineChars="200"/>
        <w:textAlignment w:val="auto"/>
        <w:outlineLvl w:val="9"/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根据保护机制不同，过</w:t>
      </w: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瘤胃脂肪分为:</w:t>
      </w:r>
    </w:p>
    <w:p w14:paraId="77B9570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textAlignment w:val="auto"/>
        <w:outlineLvl w:val="9"/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1、包被油脂类,包括甲醛-蛋白复合包被油脂和血粉包被油脂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；</w:t>
      </w:r>
    </w:p>
    <w:p w14:paraId="237B634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textAlignment w:val="auto"/>
        <w:outlineLvl w:val="9"/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2、饱和(氢化)脂肪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；</w:t>
      </w:r>
    </w:p>
    <w:p w14:paraId="1089E5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textAlignment w:val="auto"/>
        <w:outlineLvl w:val="9"/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3、脂肪酸化合物,主要是脂肪酸钙盐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；</w:t>
      </w:r>
    </w:p>
    <w:p w14:paraId="364C3B8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textAlignment w:val="auto"/>
        <w:outlineLvl w:val="9"/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4、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以棕榈油或棕榈油脂肪酸为主的产品</w:t>
      </w:r>
      <w:r>
        <w:rPr>
          <w:rFonts w:hint="default" w:hAnsi="宋体" w:eastAsia="宋体" w:cs="宋体"/>
          <w:color w:val="auto"/>
          <w:kern w:val="2"/>
          <w:sz w:val="24"/>
          <w:szCs w:val="24"/>
          <w:lang w:val="en-US" w:eastAsia="zh-CN"/>
        </w:rPr>
        <w:t>。</w:t>
      </w:r>
    </w:p>
    <w:p w14:paraId="70F5F4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 xml:space="preserve">  </w:t>
      </w: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范围</w:t>
      </w:r>
    </w:p>
    <w:p w14:paraId="1BE63B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textAlignment w:val="auto"/>
        <w:outlineLvl w:val="9"/>
        <w:rPr>
          <w:rFonts w:hint="eastAsia" w:hAnsi="宋体" w:eastAsia="宋体" w:cs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本标准规定了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脂肪酸钙盐类和以棕榈油或棕榈油脂肪酸为主的过瘤胃脂肪粉的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要求、试验方法、标签、包装、运输、贮存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eastAsia="zh-CN"/>
        </w:rPr>
        <w:t>。</w:t>
      </w:r>
    </w:p>
    <w:p w14:paraId="749E3E6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3  感官指标</w:t>
      </w:r>
    </w:p>
    <w:p w14:paraId="540F80F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 xml:space="preserve">     </w:t>
      </w: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白色粉末，具有棕榈油固有的气味,无异味。</w:t>
      </w:r>
    </w:p>
    <w:p w14:paraId="1CED81E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4  理化指标</w:t>
      </w:r>
    </w:p>
    <w:p w14:paraId="35BD1DE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4.1 脂肪酸钙盐产品</w:t>
      </w:r>
    </w:p>
    <w:tbl>
      <w:tblPr>
        <w:tblStyle w:val="3"/>
        <w:tblW w:w="0" w:type="auto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752"/>
      </w:tblGrid>
      <w:tr w14:paraId="41F2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5786644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752" w:type="dxa"/>
          </w:tcPr>
          <w:p w14:paraId="0DC142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</w:tr>
      <w:tr w14:paraId="5BBB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63BBD0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水分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/（%）     ≤</w:t>
            </w:r>
          </w:p>
        </w:tc>
        <w:tc>
          <w:tcPr>
            <w:tcW w:w="2752" w:type="dxa"/>
          </w:tcPr>
          <w:p w14:paraId="7AE92E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</w:tr>
      <w:tr w14:paraId="41CC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22996E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粗脂肪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/（%）           ≥</w:t>
            </w:r>
          </w:p>
        </w:tc>
        <w:tc>
          <w:tcPr>
            <w:tcW w:w="2752" w:type="dxa"/>
          </w:tcPr>
          <w:p w14:paraId="1476B9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82.5</w:t>
            </w:r>
          </w:p>
        </w:tc>
      </w:tr>
      <w:tr w14:paraId="6DA2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278E1A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粗灰分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/（%）         ≤</w:t>
            </w:r>
          </w:p>
        </w:tc>
        <w:tc>
          <w:tcPr>
            <w:tcW w:w="2752" w:type="dxa"/>
          </w:tcPr>
          <w:p w14:paraId="3FD8BD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</w:tr>
      <w:tr w14:paraId="6D8C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629903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钙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/（%）             ≥</w:t>
            </w:r>
          </w:p>
        </w:tc>
        <w:tc>
          <w:tcPr>
            <w:tcW w:w="2752" w:type="dxa"/>
          </w:tcPr>
          <w:p w14:paraId="3F1A62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</w:tr>
      <w:tr w14:paraId="553E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3D1361C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240" w:leftChars="0" w:hanging="240" w:hangingChars="100"/>
              <w:jc w:val="distribute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碘价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</w:t>
            </w:r>
          </w:p>
        </w:tc>
        <w:tc>
          <w:tcPr>
            <w:tcW w:w="2752" w:type="dxa"/>
          </w:tcPr>
          <w:p w14:paraId="286DC22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</w:tr>
      <w:tr w14:paraId="5B84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</w:tcPr>
          <w:p w14:paraId="4C41FC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240" w:leftChars="0" w:hanging="240" w:hangingChars="100"/>
              <w:jc w:val="distribute"/>
              <w:textAlignment w:val="auto"/>
              <w:outlineLvl w:val="9"/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酸价/（mg  KOH/g）     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52" w:type="dxa"/>
          </w:tcPr>
          <w:p w14:paraId="21AEDBF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</w:tr>
    </w:tbl>
    <w:p w14:paraId="705A20E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4.2 以棕榈油或棕榈油脂肪酸为主的产品</w:t>
      </w:r>
    </w:p>
    <w:tbl>
      <w:tblPr>
        <w:tblStyle w:val="3"/>
        <w:tblW w:w="584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2137"/>
      </w:tblGrid>
      <w:tr w14:paraId="3739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4F23B77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137" w:type="dxa"/>
            <w:vAlign w:val="center"/>
          </w:tcPr>
          <w:p w14:paraId="1DFD2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指标</w:t>
            </w:r>
          </w:p>
        </w:tc>
      </w:tr>
      <w:tr w14:paraId="32DE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shd w:val="clear" w:color="auto" w:fill="auto"/>
            <w:vAlign w:val="center"/>
          </w:tcPr>
          <w:p w14:paraId="67E60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水分及挥发物/（%）         ≤</w:t>
            </w:r>
          </w:p>
        </w:tc>
        <w:tc>
          <w:tcPr>
            <w:tcW w:w="2137" w:type="dxa"/>
            <w:vAlign w:val="center"/>
          </w:tcPr>
          <w:p w14:paraId="406C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</w:tr>
      <w:tr w14:paraId="3399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4DE30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不溶性杂质/（%）         ≤</w:t>
            </w:r>
          </w:p>
        </w:tc>
        <w:tc>
          <w:tcPr>
            <w:tcW w:w="2137" w:type="dxa"/>
            <w:vAlign w:val="center"/>
          </w:tcPr>
          <w:p w14:paraId="2D320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</w:tr>
      <w:tr w14:paraId="4B1F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0F49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粗脂肪/（%）             ≥</w:t>
            </w:r>
          </w:p>
        </w:tc>
        <w:tc>
          <w:tcPr>
            <w:tcW w:w="2137" w:type="dxa"/>
            <w:vAlign w:val="center"/>
          </w:tcPr>
          <w:p w14:paraId="5BA9E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99.5</w:t>
            </w:r>
          </w:p>
        </w:tc>
      </w:tr>
      <w:tr w14:paraId="1135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70F65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酸价/（</w:t>
            </w:r>
            <w:r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mg  KOH/g）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≤</w:t>
            </w:r>
          </w:p>
        </w:tc>
        <w:tc>
          <w:tcPr>
            <w:tcW w:w="2137" w:type="dxa"/>
            <w:vAlign w:val="center"/>
          </w:tcPr>
          <w:p w14:paraId="05BFE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5.0</w:t>
            </w:r>
          </w:p>
        </w:tc>
      </w:tr>
      <w:tr w14:paraId="6B60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452A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过氧化值/（mmol/kg）      ≤</w:t>
            </w:r>
          </w:p>
        </w:tc>
        <w:tc>
          <w:tcPr>
            <w:tcW w:w="2137" w:type="dxa"/>
            <w:vAlign w:val="center"/>
          </w:tcPr>
          <w:p w14:paraId="351A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10.0</w:t>
            </w:r>
          </w:p>
        </w:tc>
      </w:tr>
      <w:tr w14:paraId="37F7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719CE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熔点/（℃）         ≥</w:t>
            </w:r>
          </w:p>
        </w:tc>
        <w:tc>
          <w:tcPr>
            <w:tcW w:w="2137" w:type="dxa"/>
            <w:vAlign w:val="center"/>
          </w:tcPr>
          <w:p w14:paraId="1F69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54.0</w:t>
            </w:r>
          </w:p>
        </w:tc>
      </w:tr>
      <w:tr w14:paraId="0814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07" w:type="dxa"/>
            <w:vAlign w:val="center"/>
          </w:tcPr>
          <w:p w14:paraId="2D41F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碘 价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66D59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14.0</w:t>
            </w:r>
          </w:p>
        </w:tc>
      </w:tr>
    </w:tbl>
    <w:p w14:paraId="3C56B251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5  检验方法</w:t>
      </w:r>
    </w:p>
    <w:p w14:paraId="343286A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hAnsi="宋体" w:eastAsia="宋体" w:cs="宋体"/>
          <w:color w:val="auto"/>
          <w:highlight w:val="none"/>
          <w:vertAlign w:val="baseline"/>
          <w:lang w:val="en-US" w:eastAsia="zh-CN"/>
        </w:rPr>
        <w:t>见附件1。</w:t>
      </w:r>
    </w:p>
    <w:p w14:paraId="7650D00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6  卫生指标</w:t>
      </w:r>
    </w:p>
    <w:p w14:paraId="0A46531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firstLine="480" w:firstLineChars="200"/>
        <w:textAlignment w:val="auto"/>
        <w:outlineLvl w:val="9"/>
        <w:rPr>
          <w:rStyle w:val="7"/>
          <w:rFonts w:hint="eastAsia" w:hAnsi="宋体" w:eastAsia="宋体" w:cs="宋体"/>
          <w:color w:val="auto"/>
          <w:highlight w:val="none"/>
          <w:vertAlign w:val="baseline"/>
          <w:lang w:val="en-US" w:eastAsia="zh-CN"/>
        </w:rPr>
      </w:pPr>
      <w:r>
        <w:rPr>
          <w:rStyle w:val="7"/>
          <w:rFonts w:hint="eastAsia" w:hAnsi="宋体" w:eastAsia="宋体" w:cs="宋体"/>
          <w:color w:val="auto"/>
          <w:highlight w:val="none"/>
          <w:vertAlign w:val="baseline"/>
          <w:lang w:val="en-US" w:eastAsia="zh-CN"/>
        </w:rPr>
        <w:t>符合GB 13078-2017 饲料卫生标准的条件。</w:t>
      </w:r>
    </w:p>
    <w:p w14:paraId="60FA37D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default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7  标签</w:t>
      </w:r>
    </w:p>
    <w:p w14:paraId="1E88117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符合</w:t>
      </w:r>
      <w:r>
        <w:rPr>
          <w:rStyle w:val="7"/>
          <w:rFonts w:hint="eastAsia" w:hAnsi="宋体" w:eastAsia="宋体" w:cs="宋体"/>
          <w:color w:val="auto"/>
          <w:highlight w:val="none"/>
          <w:vertAlign w:val="baseline"/>
          <w:lang w:val="en-US" w:eastAsia="zh-CN"/>
        </w:rPr>
        <w:t>GB 10648-2013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饲料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eastAsia="zh-CN"/>
        </w:rPr>
        <w:t>标签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要求。</w:t>
      </w:r>
    </w:p>
    <w:p w14:paraId="758FC9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8  包装、运输、贮存</w:t>
      </w:r>
    </w:p>
    <w:p w14:paraId="0D2195E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480" w:firstLineChars="200"/>
        <w:textAlignment w:val="auto"/>
        <w:outlineLvl w:val="9"/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应采用高密度塑编袋包装,干净无污染,不破不漏,缝口牢固。</w:t>
      </w:r>
    </w:p>
    <w:p w14:paraId="05761C2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480" w:firstLineChars="200"/>
        <w:textAlignment w:val="auto"/>
        <w:outlineLvl w:val="9"/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产品运输时,不得使用装过化学药品、农药、煤炭、石灰及其他污染而未经清理干净的运输工具装运,在运输过程中应防止曝晒、雨淋。</w:t>
      </w:r>
    </w:p>
    <w:p w14:paraId="15CC04D5">
      <w:r>
        <w:rPr>
          <w:rFonts w:hint="eastAsia" w:hAnsi="宋体" w:eastAsia="宋体" w:cs="宋体"/>
          <w:color w:val="auto"/>
          <w:kern w:val="2"/>
          <w:sz w:val="24"/>
          <w:szCs w:val="24"/>
          <w:lang w:val="en-US" w:eastAsia="zh-CN"/>
        </w:rPr>
        <w:t>产品应贮存在干燥、通风的仓库内,防止受潮、有害物质污染及其它损害。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61118"/>
    <w:rsid w:val="24961118"/>
    <w:rsid w:val="501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5550"/>
    <w:basedOn w:val="1"/>
    <w:qFormat/>
    <w:uiPriority w:val="0"/>
    <w:pPr>
      <w:jc w:val="center"/>
    </w:pPr>
    <w:rPr>
      <w:rFonts w:cs="Times New Roman"/>
      <w:szCs w:val="22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7">
    <w:name w:val="fontstyle01"/>
    <w:basedOn w:val="4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582</Characters>
  <Lines>0</Lines>
  <Paragraphs>0</Paragraphs>
  <TotalTime>0</TotalTime>
  <ScaleCrop>false</ScaleCrop>
  <LinksUpToDate>false</LinksUpToDate>
  <CharactersWithSpaces>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2025-04-18T00:51:00Z</dcterms:created>
  <dc:creator>尼卡果实</dc:creator>
  <cp:lastModifiedBy>season </cp:lastModifiedBy>
  <dcterms:modified xsi:type="dcterms:W3CDTF">2025-06-13T09:28:37Z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A3A7F3951C174CABAD1E75C748472FF8_13</vt:lpwstr>
  </property>
  <property fmtid="{D5CDD505-2E9C-101B-9397-08002B2CF9AE}" pid="4" name="KSOTemplateDocerSaveRecord">
    <vt:lpwstr>eyJoZGlkIjoiNDRlOWFmMDIxZDFhNDkyYzVkMDgyMGYzMjhjODczZDAiLCJ1c2VySWQiOiI0MDc0MDE4NTkifQ==</vt:lpwstr>
  </property>
</Properties>
</file>